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598170</wp:posOffset>
            </wp:positionH>
            <wp:positionV relativeFrom="page">
              <wp:posOffset>654050</wp:posOffset>
            </wp:positionV>
            <wp:extent cx="68059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16510"/>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621030</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t>UNITED STATES</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________________________________________________________________</w:t>
      </w:r>
    </w:p>
    <w:p>
      <w:pPr>
        <w:spacing w:after="0" w:line="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________________________________________________________________</w:t>
      </w:r>
    </w:p>
    <w:p>
      <w:pPr>
        <w:spacing w:after="0" w:line="81" w:lineRule="exact"/>
        <w:rPr>
          <w:sz w:val="24"/>
          <w:szCs w:val="24"/>
          <w:color w:val="auto"/>
        </w:rPr>
      </w:pPr>
    </w:p>
    <w:p>
      <w:pPr>
        <w:spacing w:after="0"/>
        <w:tabs>
          <w:tab w:leader="none" w:pos="2160" w:val="left"/>
        </w:tabs>
        <w:rPr>
          <w:sz w:val="20"/>
          <w:szCs w:val="20"/>
          <w:color w:val="auto"/>
        </w:rPr>
      </w:pPr>
      <w:r>
        <w:rPr>
          <w:rFonts w:ascii="Times New Roman" w:cs="Times New Roman" w:eastAsia="Times New Roman" w:hAnsi="Times New Roman"/>
          <w:sz w:val="17"/>
          <w:szCs w:val="17"/>
          <w:color w:val="auto"/>
        </w:rPr>
        <w:t xml:space="preserve">Filed by the Registrant </w:t>
      </w:r>
      <w:r>
        <w:rPr>
          <w:rFonts w:ascii="Wingdings" w:cs="Wingdings" w:eastAsia="Wingdings" w:hAnsi="Wingdings"/>
          <w:sz w:val="17"/>
          <w:szCs w:val="17"/>
          <w:b w:val="1"/>
          <w:bCs w:val="1"/>
          <w:color w:val="auto"/>
          <w:highlight w:val="black"/>
        </w:rPr>
        <w:t>x</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Wingdings" w:cs="Wingdings" w:eastAsia="Wingdings" w:hAnsi="Wingdings"/>
          <w:sz w:val="17"/>
          <w:szCs w:val="17"/>
          <w:b w:val="1"/>
          <w:bCs w:val="1"/>
          <w:color w:val="auto"/>
        </w:rPr>
        <w:t>o</w:t>
      </w:r>
    </w:p>
    <w:p>
      <w:pPr>
        <w:spacing w:after="0" w:line="2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14" w:lineRule="exact"/>
        <w:rPr>
          <w:sz w:val="24"/>
          <w:szCs w:val="24"/>
          <w:color w:val="auto"/>
        </w:rPr>
      </w:pPr>
    </w:p>
    <w:p>
      <w:pPr>
        <w:ind w:left="420" w:hanging="400"/>
        <w:spacing w:after="0"/>
        <w:tabs>
          <w:tab w:leader="none" w:pos="4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Preliminary Proxy Statement</w:t>
      </w:r>
    </w:p>
    <w:p>
      <w:pPr>
        <w:spacing w:after="0" w:line="27" w:lineRule="exact"/>
        <w:rPr>
          <w:rFonts w:ascii="Wingdings" w:cs="Wingdings" w:eastAsia="Wingdings" w:hAnsi="Wingdings"/>
          <w:sz w:val="17"/>
          <w:szCs w:val="17"/>
          <w:b w:val="1"/>
          <w:bCs w:val="1"/>
          <w:color w:val="auto"/>
        </w:rPr>
      </w:pPr>
    </w:p>
    <w:p>
      <w:pPr>
        <w:ind w:left="20" w:right="4119"/>
        <w:spacing w:after="0" w:line="269" w:lineRule="auto"/>
        <w:tabs>
          <w:tab w:leader="none" w:pos="4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Wingdings" w:cs="Wingdings" w:eastAsia="Wingdings" w:hAnsi="Wingdings"/>
          <w:sz w:val="17"/>
          <w:szCs w:val="17"/>
          <w:b w:val="1"/>
          <w:bCs w:val="1"/>
          <w:color w:val="auto"/>
          <w:highlight w:val="black"/>
        </w:rPr>
        <w:t xml:space="preserve">x </w:t>
      </w:r>
      <w:r>
        <w:rPr>
          <w:rFonts w:ascii="Times New Roman" w:cs="Times New Roman" w:eastAsia="Times New Roman" w:hAnsi="Times New Roman"/>
          <w:sz w:val="17"/>
          <w:szCs w:val="17"/>
          <w:color w:val="auto"/>
        </w:rPr>
        <w:t>Definitive Proxy Statement</w:t>
      </w:r>
    </w:p>
    <w:p>
      <w:pPr>
        <w:ind w:left="420" w:hanging="400"/>
        <w:spacing w:after="0"/>
        <w:tabs>
          <w:tab w:leader="none" w:pos="4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Definitive Additional Materials</w:t>
      </w:r>
    </w:p>
    <w:p>
      <w:pPr>
        <w:spacing w:after="0" w:line="23" w:lineRule="exact"/>
        <w:rPr>
          <w:rFonts w:ascii="Wingdings" w:cs="Wingdings" w:eastAsia="Wingdings" w:hAnsi="Wingdings"/>
          <w:sz w:val="17"/>
          <w:szCs w:val="17"/>
          <w:b w:val="1"/>
          <w:bCs w:val="1"/>
          <w:color w:val="auto"/>
        </w:rPr>
      </w:pPr>
    </w:p>
    <w:p>
      <w:pPr>
        <w:ind w:left="420" w:hanging="400"/>
        <w:spacing w:after="0"/>
        <w:tabs>
          <w:tab w:leader="none" w:pos="4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Soliciting Material Pursuant to §240.14a-12</w:t>
      </w:r>
    </w:p>
    <w:p>
      <w:pPr>
        <w:spacing w:after="0" w:line="18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Surgery Partners, Inc.</w:t>
      </w:r>
    </w:p>
    <w:p>
      <w:pPr>
        <w:spacing w:after="0" w:line="90"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88" w:lineRule="exact"/>
        <w:rPr>
          <w:sz w:val="24"/>
          <w:szCs w:val="24"/>
          <w:color w:val="auto"/>
        </w:rPr>
      </w:pPr>
    </w:p>
    <w:p>
      <w:pPr>
        <w:jc w:val="right"/>
        <w:ind w:right="1879"/>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40" w:lineRule="exact"/>
        <w:rPr>
          <w:sz w:val="24"/>
          <w:szCs w:val="24"/>
          <w:color w:val="auto"/>
        </w:rPr>
      </w:pPr>
    </w:p>
    <w:p>
      <w:pPr>
        <w:ind w:left="340" w:hanging="320"/>
        <w:spacing w:after="0"/>
        <w:tabs>
          <w:tab w:leader="none" w:pos="34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color w:val="auto"/>
        </w:rPr>
        <w:t>No fee required.</w:t>
      </w:r>
    </w:p>
    <w:p>
      <w:pPr>
        <w:spacing w:after="0" w:line="28" w:lineRule="exact"/>
        <w:rPr>
          <w:sz w:val="24"/>
          <w:szCs w:val="24"/>
          <w:color w:val="auto"/>
        </w:rPr>
      </w:pPr>
    </w:p>
    <w:p>
      <w:pPr>
        <w:ind w:left="340" w:hanging="320"/>
        <w:spacing w:after="0"/>
        <w:tabs>
          <w:tab w:leader="none" w:pos="340" w:val="left"/>
        </w:tabs>
        <w:numPr>
          <w:ilvl w:val="0"/>
          <w:numId w:val="3"/>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Fee paid previously with preliminary materials.</w:t>
      </w:r>
    </w:p>
    <w:p>
      <w:pPr>
        <w:spacing w:after="0" w:line="109" w:lineRule="exact"/>
        <w:rPr>
          <w:rFonts w:ascii="Wingdings" w:cs="Wingdings" w:eastAsia="Wingdings" w:hAnsi="Wingdings"/>
          <w:sz w:val="17"/>
          <w:szCs w:val="17"/>
          <w:b w:val="1"/>
          <w:bCs w:val="1"/>
          <w:color w:val="auto"/>
        </w:rPr>
      </w:pPr>
    </w:p>
    <w:p>
      <w:pPr>
        <w:ind w:left="340" w:hanging="320"/>
        <w:spacing w:after="0"/>
        <w:tabs>
          <w:tab w:leader="none" w:pos="340" w:val="left"/>
        </w:tabs>
        <w:numPr>
          <w:ilvl w:val="0"/>
          <w:numId w:val="3"/>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986790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12" w:right="1440" w:bottom="1440" w:gutter="0" w:footer="0" w:header="0"/>
        </w:sectPr>
      </w:pPr>
    </w:p>
    <w:bookmarkStart w:id="1" w:name="page2"/>
    <w:bookmarkEnd w:id="1"/>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2087880</wp:posOffset>
            </wp:positionH>
            <wp:positionV relativeFrom="page">
              <wp:posOffset>481965</wp:posOffset>
            </wp:positionV>
            <wp:extent cx="3380740" cy="458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3380740" cy="4584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April 23, 2026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STOCKHOLDERS</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jc w:val="both"/>
        <w:ind w:right="560" w:firstLine="309"/>
        <w:spacing w:after="0" w:line="254" w:lineRule="auto"/>
        <w:rPr>
          <w:sz w:val="20"/>
          <w:szCs w:val="20"/>
          <w:color w:val="auto"/>
        </w:rPr>
      </w:pPr>
      <w:r>
        <w:rPr>
          <w:rFonts w:ascii="Times New Roman" w:cs="Times New Roman" w:eastAsia="Times New Roman" w:hAnsi="Times New Roman"/>
          <w:sz w:val="17"/>
          <w:szCs w:val="17"/>
          <w:color w:val="auto"/>
        </w:rPr>
        <w:t>You are cordially invited to attend the 2026 annual meeting of stockholders of Surgery Partners, Inc., to be held on June 5, 2026, at 10:00 a.m. Central Daylight Time. The annual meeting will be held solely by remote communication in a virtual meeting format. If you attend the annual meeting virtually by following the instructions set forth in the proxy materials, you will be considered present at the meeting.</w:t>
      </w:r>
    </w:p>
    <w:p>
      <w:pPr>
        <w:spacing w:after="0" w:line="204" w:lineRule="exact"/>
        <w:rPr>
          <w:sz w:val="20"/>
          <w:szCs w:val="20"/>
          <w:color w:val="auto"/>
        </w:rPr>
      </w:pPr>
    </w:p>
    <w:p>
      <w:pPr>
        <w:ind w:firstLine="309"/>
        <w:spacing w:after="0" w:line="254" w:lineRule="auto"/>
        <w:rPr>
          <w:sz w:val="20"/>
          <w:szCs w:val="20"/>
          <w:color w:val="auto"/>
        </w:rPr>
      </w:pPr>
      <w:r>
        <w:rPr>
          <w:rFonts w:ascii="Times New Roman" w:cs="Times New Roman" w:eastAsia="Times New Roman" w:hAnsi="Times New Roman"/>
          <w:sz w:val="17"/>
          <w:szCs w:val="17"/>
          <w:color w:val="auto"/>
        </w:rPr>
        <w:t>In accordance with rules adopted by the Securities and Exchange Commission, we are mailing to many of our stockholders a Notice of Internet Availability of Proxy Materials instead of a paper copy of the Proxy Statement, the proxy card and our Annual Report to Stockholders. The Notice of Internet Availability of Proxy Materials contains instructions on how stockholders can access the proxy materials over the internet as well as request a paper or email copy if desired.</w:t>
      </w:r>
    </w:p>
    <w:p>
      <w:pPr>
        <w:spacing w:after="0" w:line="204" w:lineRule="exact"/>
        <w:rPr>
          <w:sz w:val="20"/>
          <w:szCs w:val="20"/>
          <w:color w:val="auto"/>
        </w:rPr>
      </w:pPr>
    </w:p>
    <w:p>
      <w:pPr>
        <w:jc w:val="both"/>
        <w:ind w:right="120" w:firstLine="309"/>
        <w:spacing w:after="0" w:line="254" w:lineRule="auto"/>
        <w:rPr>
          <w:sz w:val="20"/>
          <w:szCs w:val="20"/>
          <w:color w:val="auto"/>
        </w:rPr>
      </w:pPr>
      <w:r>
        <w:rPr>
          <w:rFonts w:ascii="Times New Roman" w:cs="Times New Roman" w:eastAsia="Times New Roman" w:hAnsi="Times New Roman"/>
          <w:sz w:val="17"/>
          <w:szCs w:val="17"/>
          <w:color w:val="auto"/>
        </w:rPr>
        <w:t>It is important that your shares be represented at the annual meeting. Whether or not you plan to attend the annual meeting, we would appreciate your efforts to vote your shares as soon as possible by following the instructions located in the Notice of Internet Availability of Proxy Materials or in our proxy statement. If you attend the annual meeting and wish to vote at that time, you may withdraw your proxy and vote your shares at the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Blair E. Hendrix</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Blair E. Hendrix</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443865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2087880</wp:posOffset>
            </wp:positionH>
            <wp:positionV relativeFrom="page">
              <wp:posOffset>539115</wp:posOffset>
            </wp:positionV>
            <wp:extent cx="3380740" cy="4584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380740" cy="45847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APRIL 23, 2026</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5, 2026</w:t>
      </w:r>
    </w:p>
    <w:p>
      <w:pPr>
        <w:spacing w:after="0" w:line="165" w:lineRule="exact"/>
        <w:rPr>
          <w:sz w:val="20"/>
          <w:szCs w:val="20"/>
          <w:color w:val="auto"/>
        </w:rPr>
      </w:pPr>
    </w:p>
    <w:p>
      <w:pPr>
        <w:sectPr>
          <w:pgSz w:w="11900" w:h="16838" w:orient="portrait"/>
          <w:cols w:equalWidth="0" w:num="2">
            <w:col w:w="500" w:space="380"/>
            <w:col w:w="1036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10:00 a.m. Central Daylight Time</w:t>
      </w:r>
    </w:p>
    <w:p>
      <w:pPr>
        <w:spacing w:after="0" w:line="165" w:lineRule="exact"/>
        <w:rPr>
          <w:sz w:val="20"/>
          <w:szCs w:val="20"/>
          <w:color w:val="auto"/>
        </w:rPr>
      </w:pPr>
    </w:p>
    <w:p>
      <w:pPr>
        <w:sectPr>
          <w:pgSz w:w="11900" w:h="16838" w:orient="portrait"/>
          <w:cols w:equalWidth="0" w:num="2">
            <w:col w:w="480" w:space="380"/>
            <w:col w:w="1038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annual meeting will be held solely by remote communication in a virtual meeting format. You will be able to</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attend the annual meeting by visiting www.meetnow.global/MRTVYKW and entering the 15-digit control number found on the proxy card or</w:t>
      </w:r>
    </w:p>
    <w:p>
      <w:pPr>
        <w:ind w:left="440"/>
        <w:spacing w:after="0"/>
        <w:rPr>
          <w:sz w:val="20"/>
          <w:szCs w:val="20"/>
          <w:color w:val="auto"/>
        </w:rPr>
      </w:pPr>
      <w:r>
        <w:rPr>
          <w:rFonts w:ascii="Times New Roman" w:cs="Times New Roman" w:eastAsia="Times New Roman" w:hAnsi="Times New Roman"/>
          <w:sz w:val="17"/>
          <w:szCs w:val="17"/>
          <w:color w:val="auto"/>
        </w:rPr>
        <w:t>voting instruction form. If you attend the annual meeting virtually, you will be considered present at the meeting.</w:t>
      </w:r>
    </w:p>
    <w:p>
      <w:pPr>
        <w:spacing w:after="0" w:line="200" w:lineRule="exact"/>
        <w:rPr>
          <w:sz w:val="20"/>
          <w:szCs w:val="20"/>
          <w:color w:val="auto"/>
        </w:rPr>
      </w:pPr>
    </w:p>
    <w:p>
      <w:pPr>
        <w:sectPr>
          <w:pgSz w:w="11900" w:h="16838" w:orient="portrait"/>
          <w:cols w:equalWidth="0" w:num="2">
            <w:col w:w="600" w:space="200"/>
            <w:col w:w="10440"/>
          </w:cols>
          <w:pgMar w:left="320" w:top="1440" w:right="33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ITEMS OF BUSINESS:</w:t>
      </w:r>
    </w:p>
    <w:p>
      <w:pPr>
        <w:spacing w:after="0" w:line="256" w:lineRule="exact"/>
        <w:rPr>
          <w:sz w:val="20"/>
          <w:szCs w:val="20"/>
          <w:color w:val="auto"/>
        </w:rPr>
      </w:pPr>
    </w:p>
    <w:p>
      <w:pPr>
        <w:ind w:left="2160" w:right="80" w:hanging="300"/>
        <w:spacing w:after="0" w:line="287" w:lineRule="auto"/>
        <w:tabs>
          <w:tab w:leader="none" w:pos="2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the three Class II director nominees named in this Proxy Statement to the Board of Directors of Surgery Partners, Inc. (the "Company") for a term of three years;</w:t>
      </w:r>
    </w:p>
    <w:p>
      <w:pPr>
        <w:spacing w:after="0" w:line="99" w:lineRule="exact"/>
        <w:rPr>
          <w:rFonts w:ascii="Times New Roman" w:cs="Times New Roman" w:eastAsia="Times New Roman" w:hAnsi="Times New Roman"/>
          <w:sz w:val="17"/>
          <w:szCs w:val="17"/>
          <w:color w:val="auto"/>
        </w:rPr>
      </w:pPr>
    </w:p>
    <w:p>
      <w:pPr>
        <w:ind w:left="2160" w:hanging="300"/>
        <w:spacing w:after="0"/>
        <w:tabs>
          <w:tab w:leader="none" w:pos="2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an advisory basis, the compensation paid by the Company to its named executive officers;</w:t>
      </w:r>
    </w:p>
    <w:p>
      <w:pPr>
        <w:spacing w:after="0" w:line="165" w:lineRule="exact"/>
        <w:rPr>
          <w:rFonts w:ascii="Times New Roman" w:cs="Times New Roman" w:eastAsia="Times New Roman" w:hAnsi="Times New Roman"/>
          <w:sz w:val="17"/>
          <w:szCs w:val="17"/>
          <w:color w:val="auto"/>
        </w:rPr>
      </w:pPr>
    </w:p>
    <w:p>
      <w:pPr>
        <w:ind w:left="2160" w:hanging="300"/>
        <w:spacing w:after="0" w:line="287" w:lineRule="auto"/>
        <w:tabs>
          <w:tab w:leader="none" w:pos="2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Ernst &amp; Young LLP as the Company's independent registered public accounting firm for the fiscal year ending December 31, 2026; and</w:t>
      </w:r>
    </w:p>
    <w:p>
      <w:pPr>
        <w:spacing w:after="0" w:line="99" w:lineRule="exact"/>
        <w:rPr>
          <w:rFonts w:ascii="Times New Roman" w:cs="Times New Roman" w:eastAsia="Times New Roman" w:hAnsi="Times New Roman"/>
          <w:sz w:val="17"/>
          <w:szCs w:val="17"/>
          <w:color w:val="auto"/>
        </w:rPr>
      </w:pPr>
    </w:p>
    <w:p>
      <w:pPr>
        <w:ind w:left="2160" w:right="280" w:hanging="300"/>
        <w:spacing w:after="0" w:line="287" w:lineRule="auto"/>
        <w:tabs>
          <w:tab w:leader="none" w:pos="2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act upon any other business that may properly come before the 2026 annual meeting of stockholders and at any adjournment or postponement thereof.</w:t>
      </w:r>
    </w:p>
    <w:p>
      <w:pPr>
        <w:spacing w:after="0" w:line="17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Information relating to the matters to be considered and voted on at the annual meeting is set forth in the enclosed proxy materials.</w:t>
      </w:r>
    </w:p>
    <w:p>
      <w:pPr>
        <w:spacing w:after="0" w:line="230" w:lineRule="exact"/>
        <w:rPr>
          <w:sz w:val="20"/>
          <w:szCs w:val="20"/>
          <w:color w:val="auto"/>
        </w:rPr>
      </w:pPr>
    </w:p>
    <w:p>
      <w:pPr>
        <w:ind w:left="1440" w:right="380" w:hanging="1855"/>
        <w:spacing w:after="0" w:line="287" w:lineRule="auto"/>
        <w:tabs>
          <w:tab w:leader="none" w:pos="1420" w:val="left"/>
        </w:tabs>
        <w:rPr>
          <w:sz w:val="20"/>
          <w:szCs w:val="20"/>
          <w:color w:val="auto"/>
        </w:rPr>
      </w:pPr>
      <w:r>
        <w:rPr>
          <w:rFonts w:ascii="Times New Roman" w:cs="Times New Roman" w:eastAsia="Times New Roman" w:hAnsi="Times New Roman"/>
          <w:sz w:val="17"/>
          <w:szCs w:val="17"/>
          <w:color w:val="auto"/>
        </w:rPr>
        <w:t>RECORD DATE:</w:t>
        <w:tab/>
        <w:t>Holders of shares of our common stock of record at the close of business on April 8, 2026 are entitled to receive notice of and vote at the annual meeting and at any adjournment or postponement thereof.</w:t>
      </w:r>
    </w:p>
    <w:p>
      <w:pPr>
        <w:spacing w:after="0" w:line="164" w:lineRule="exact"/>
        <w:rPr>
          <w:sz w:val="20"/>
          <w:szCs w:val="20"/>
          <w:color w:val="auto"/>
        </w:rPr>
      </w:pPr>
    </w:p>
    <w:p>
      <w:pPr>
        <w:ind w:left="1680" w:right="280" w:hanging="1855"/>
        <w:spacing w:after="0" w:line="271" w:lineRule="auto"/>
        <w:tabs>
          <w:tab w:leader="none" w:pos="1660" w:val="left"/>
        </w:tabs>
        <w:rPr>
          <w:sz w:val="20"/>
          <w:szCs w:val="20"/>
          <w:color w:val="auto"/>
        </w:rPr>
      </w:pPr>
      <w:r>
        <w:rPr>
          <w:rFonts w:ascii="Times New Roman" w:cs="Times New Roman" w:eastAsia="Times New Roman" w:hAnsi="Times New Roman"/>
          <w:sz w:val="17"/>
          <w:szCs w:val="17"/>
          <w:color w:val="auto"/>
        </w:rPr>
        <w:t>ANNUAL REPORT:</w:t>
        <w:tab/>
        <w:t>The Company's Annual Report to Stockholders for the fiscal year ended December 31, 2025 is available to you on the internet or, upon request, will be delivered to you by mail or email.</w:t>
      </w:r>
    </w:p>
    <w:p>
      <w:pPr>
        <w:spacing w:after="0" w:line="177" w:lineRule="exact"/>
        <w:rPr>
          <w:sz w:val="20"/>
          <w:szCs w:val="20"/>
          <w:color w:val="auto"/>
        </w:rPr>
      </w:pPr>
    </w:p>
    <w:p>
      <w:pPr>
        <w:ind w:left="1500" w:right="160" w:hanging="1855"/>
        <w:spacing w:after="0" w:line="241" w:lineRule="auto"/>
        <w:tabs>
          <w:tab w:leader="none" w:pos="1480" w:val="left"/>
        </w:tabs>
        <w:rPr>
          <w:sz w:val="20"/>
          <w:szCs w:val="20"/>
          <w:color w:val="auto"/>
        </w:rPr>
      </w:pPr>
      <w:r>
        <w:rPr>
          <w:rFonts w:ascii="Times New Roman" w:cs="Times New Roman" w:eastAsia="Times New Roman" w:hAnsi="Times New Roman"/>
          <w:sz w:val="17"/>
          <w:szCs w:val="17"/>
          <w:color w:val="auto"/>
        </w:rPr>
        <w:t>PROXY VOTING:</w:t>
        <w:tab/>
        <w:t>Your vote is important. Whether or not you plan to attend the annual meeting, after reviewing the proxy materials, please vote by phone or online following the instructions set forth in the following proxy materials, or if you requested a printed copy, please complete, date, sign and return the proxy card in the enclosed stamped envelope. You can revoke a proxy at any time prior to its exercise at the annual meeting by following the instructions in the attached Proxy Statement. If you decide to attend the annual meeting and wish to change your proxy, you may do so by voting during the meeting.</w:t>
      </w:r>
    </w:p>
    <w:p>
      <w:pPr>
        <w:spacing w:after="0" w:line="21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Board of Directors unanimously recommends that you vote: (i)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election of the three Class II director nominees named in the Proxy Statement, (ii)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approval, on an advisory basis, of the compensation paid by the Company to its named executive officers, and (iii)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ratification of the Audit Committee’s appointment of Ernst &amp; Young LLP as the Company's independent registered public accounting firm.</w:t>
      </w:r>
    </w:p>
    <w:p>
      <w:pPr>
        <w:spacing w:after="0" w:line="17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You are welcome to attend the annual meeting by visiting www.meetnow.global/MRTVYKW and entering the 15-digit control number found on the proxy card or voting instruction form. Once admitted, you may submit questions, vote or view our list of stockholders during the annual meeting by following the instructions that will be available on the meeting website.</w:t>
      </w:r>
    </w:p>
    <w:p>
      <w:pPr>
        <w:spacing w:after="0" w:line="20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7"/>
          <w:szCs w:val="17"/>
          <w:b w:val="1"/>
          <w:bCs w:val="1"/>
          <w:color w:val="auto"/>
        </w:rPr>
        <w:t>If you hold your shares through an intermediary, such as a bank or broker, you must register in advance to attend the annual meeting virtually on the internet. To register to attend the annual meeting online by webcast you must submit proof of your proxy power (legal proxy) reflecting your Company holdings along with your name and email address to Computershare, Inc. (a subsidiary of Computershare Trust Company, N.A.), the Company’s transfer agent. Requests for registration must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430530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ind w:right="600"/>
        <w:spacing w:after="0" w:line="276" w:lineRule="auto"/>
        <w:rPr>
          <w:sz w:val="20"/>
          <w:szCs w:val="20"/>
          <w:color w:val="auto"/>
        </w:rPr>
      </w:pPr>
      <w:r>
        <w:rPr>
          <w:rFonts w:ascii="Times New Roman" w:cs="Times New Roman" w:eastAsia="Times New Roman" w:hAnsi="Times New Roman"/>
          <w:sz w:val="17"/>
          <w:szCs w:val="17"/>
          <w:b w:val="1"/>
          <w:bCs w:val="1"/>
          <w:color w:val="auto"/>
        </w:rPr>
        <w:t>labeled as “Legal Proxy” and be received no later than 4:00 p.m., Central Daylight Time, on June 2, 2026. You will receive a confirmation of your registration by email after we receive your registration materials.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Even if you plan to attend, please vote your shares promptly to ensure they are represented at the annual meeting. If you decide to attend the annual meeting and wish to change your proxy, you may do so by voting virtually at the meeting. If you have questions about how to attend the annual meeting, please contact Investor Relations at 340 Seven Springs Way, Suite 600, Brentwood, Tennessee 37027, (615) 234-5900 or email ir@surgerypartners.com.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your ongoing support of and interest in Surgery Partners,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Blair E. Hendrix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Blair E. Hendrix</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of the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Brentwood, Tennessee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23, 2026</w:t>
      </w:r>
    </w:p>
    <w:p>
      <w:pPr>
        <w:spacing w:after="0" w:line="209"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OF STOCKHOLDERS TO BE HELD ON JUNE 5, 2026:</w:t>
      </w:r>
    </w:p>
    <w:p>
      <w:pPr>
        <w:spacing w:after="0" w:line="18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b w:val="1"/>
          <w:bCs w:val="1"/>
          <w:color w:val="auto"/>
        </w:rPr>
        <w:t>THE PROXY STATEMENT, THE PROXY CARD AND OUR ANNUAL REPORT TO STOCKHOLDERS FOR THE FISCAL YEAR ENDED DECEMBER 31, 2025 ARE AVAILABLE TO YOU ON THE INTERNET AT WWW.INVESTORVOTE.COM/SGRY AND ON THE "INVESTORS" PAGE OF OUR WEBSITE AT WWW.SURGERYPARTNERS.COM OR, UPON YOUR REQUEST, WILL BE DELIVERED TO YOU BY MAIL OR EMAIL IN CONNECTION WITH THE SOLICITATION OF PROXIES BY THE BOARD OF DIRECTORS OF THE COMPANY TO BE VOTED ON AT THE ANNUAL MEETING. THE NOTICE OF INTERNET AVAILABILITY OF PROXY MATERIALS IS SCHEDULED TO BE DISTRIBUTED ON OR ABOUT APRIL 23, 2026 TO STOCKHOLDERS OF RECORD AS OF THE CLOSE OF BUSINESS ON APRIL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441960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38"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280" w:type="dxa"/>
            <w:vAlign w:val="bottom"/>
          </w:tcPr>
          <w:p>
            <w:pPr>
              <w:spacing w:after="0"/>
              <w:rPr>
                <w:sz w:val="19"/>
                <w:szCs w:val="19"/>
                <w:color w:val="auto"/>
              </w:rPr>
            </w:pPr>
          </w:p>
        </w:tc>
        <w:tc>
          <w:tcPr>
            <w:tcW w:w="960" w:type="dxa"/>
            <w:vAlign w:val="bottom"/>
            <w:gridSpan w:val="6"/>
          </w:tcPr>
          <w:p>
            <w:pPr>
              <w:ind w:left="24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64"/>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IMPORTANT INFORMATION ABOUT THE ANNUAL MEETING AND VOTING</w:t>
            </w:r>
          </w:p>
        </w:tc>
        <w:tc>
          <w:tcPr>
            <w:tcW w:w="360" w:type="dxa"/>
            <w:vAlign w:val="bottom"/>
            <w:tcBorders>
              <w:top w:val="single" w:sz="8" w:color="auto"/>
            </w:tcBorders>
            <w:gridSpan w:val="2"/>
          </w:tcPr>
          <w:p>
            <w:pPr>
              <w:spacing w:after="0"/>
              <w:rPr>
                <w:sz w:val="22"/>
                <w:szCs w:val="22"/>
                <w:color w:val="auto"/>
              </w:rPr>
            </w:pPr>
          </w:p>
        </w:tc>
        <w:tc>
          <w:tcPr>
            <w:tcW w:w="100" w:type="dxa"/>
            <w:vAlign w:val="bottom"/>
            <w:tcBorders>
              <w:top w:val="single" w:sz="8" w:color="auto"/>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1</w:t>
            </w:r>
          </w:p>
        </w:tc>
        <w:tc>
          <w:tcPr>
            <w:tcW w:w="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199"/>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tc>
        <w:tc>
          <w:tcPr>
            <w:tcW w:w="3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6</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PROPOSAL NO. 1: ELECTION OF DIRECTORS</w:t>
            </w:r>
          </w:p>
        </w:tc>
        <w:tc>
          <w:tcPr>
            <w:tcW w:w="3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9</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CORPORATE GOVERNANCE</w:t>
            </w: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PROPOSAL NO. 2: ADVISORY VOTE ON EXECUTIVE COMPENSATION</w:t>
            </w: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EXECUTIVE OFFICERS</w:t>
            </w: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REPORT OF THE COMPENSATION COMMITTEE</w:t>
            </w: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EXECUTIVE COMPENSATION</w:t>
            </w: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DIRECTOR COMPENSATION</w:t>
            </w:r>
          </w:p>
        </w:tc>
        <w:tc>
          <w:tcPr>
            <w:tcW w:w="500" w:type="dxa"/>
            <w:vAlign w:val="bottom"/>
            <w:gridSpan w:val="4"/>
          </w:tcPr>
          <w:p>
            <w:pPr>
              <w:jc w:val="center"/>
              <w:ind w:left="234"/>
              <w:spacing w:after="0"/>
              <w:rPr>
                <w:sz w:val="20"/>
                <w:szCs w:val="20"/>
                <w:color w:val="auto"/>
              </w:rPr>
            </w:pPr>
            <w:r>
              <w:rPr>
                <w:rFonts w:ascii="Times New Roman" w:cs="Times New Roman" w:eastAsia="Times New Roman" w:hAnsi="Times New Roman"/>
                <w:sz w:val="17"/>
                <w:szCs w:val="17"/>
                <w:color w:val="0000FF"/>
              </w:rPr>
              <w:t>40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86"/>
        </w:trPr>
        <w:tc>
          <w:tcPr>
            <w:tcW w:w="10280" w:type="dxa"/>
            <w:vAlign w:val="bottom"/>
          </w:tcPr>
          <w:p>
            <w:pPr>
              <w:ind w:left="160"/>
              <w:spacing w:after="0" w:line="186" w:lineRule="exact"/>
              <w:rPr>
                <w:sz w:val="20"/>
                <w:szCs w:val="20"/>
                <w:color w:val="auto"/>
              </w:rPr>
            </w:pPr>
            <w:r>
              <w:rPr>
                <w:rFonts w:ascii="Times New Roman" w:cs="Times New Roman" w:eastAsia="Times New Roman" w:hAnsi="Times New Roman"/>
                <w:sz w:val="17"/>
                <w:szCs w:val="17"/>
                <w:b w:val="1"/>
                <w:bCs w:val="1"/>
                <w:color w:val="auto"/>
              </w:rPr>
              <w:t>PROPOSAL NO. 3: RATIFICATION OF THE AUDIT COMMITTEE'S APPOINTMENT OF THE INDEPENDENT REGISTERED</w:t>
            </w:r>
          </w:p>
        </w:tc>
        <w:tc>
          <w:tcPr>
            <w:tcW w:w="32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3"/>
        </w:trPr>
        <w:tc>
          <w:tcPr>
            <w:tcW w:w="10280" w:type="dxa"/>
            <w:vAlign w:val="bottom"/>
          </w:tcPr>
          <w:p>
            <w:pPr>
              <w:ind w:left="160"/>
              <w:spacing w:after="0" w:line="194" w:lineRule="exact"/>
              <w:rPr>
                <w:sz w:val="20"/>
                <w:szCs w:val="20"/>
                <w:color w:val="auto"/>
              </w:rPr>
            </w:pPr>
            <w:r>
              <w:rPr>
                <w:rFonts w:ascii="Times New Roman" w:cs="Times New Roman" w:eastAsia="Times New Roman" w:hAnsi="Times New Roman"/>
                <w:sz w:val="17"/>
                <w:szCs w:val="17"/>
                <w:b w:val="1"/>
                <w:bCs w:val="1"/>
                <w:color w:val="auto"/>
              </w:rPr>
              <w:t>PUBLIC ACCOUNTING FIRM</w:t>
            </w:r>
          </w:p>
        </w:tc>
        <w:tc>
          <w:tcPr>
            <w:tcW w:w="320" w:type="dxa"/>
            <w:vAlign w:val="bottom"/>
          </w:tcPr>
          <w:p>
            <w:pPr>
              <w:spacing w:after="0"/>
              <w:rPr>
                <w:sz w:val="16"/>
                <w:szCs w:val="16"/>
                <w:color w:val="auto"/>
              </w:rPr>
            </w:pPr>
          </w:p>
        </w:tc>
        <w:tc>
          <w:tcPr>
            <w:tcW w:w="180" w:type="dxa"/>
            <w:vAlign w:val="bottom"/>
            <w:tcBorders>
              <w:bottom w:val="single" w:sz="8" w:color="0000FF"/>
            </w:tcBorders>
            <w:gridSpan w:val="3"/>
          </w:tcPr>
          <w:p>
            <w:pPr>
              <w:jc w:val="center"/>
              <w:spacing w:after="0" w:line="194" w:lineRule="exact"/>
              <w:rPr>
                <w:sz w:val="20"/>
                <w:szCs w:val="20"/>
                <w:color w:val="auto"/>
              </w:rPr>
            </w:pPr>
            <w:r>
              <w:rPr>
                <w:rFonts w:ascii="Times New Roman" w:cs="Times New Roman" w:eastAsia="Times New Roman" w:hAnsi="Times New Roman"/>
                <w:sz w:val="17"/>
                <w:szCs w:val="17"/>
                <w:color w:val="0000FF"/>
              </w:rPr>
              <w:t>41</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9"/>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FEES PAID TO INDEPENDENT REGISTERED PUBLIC ACCOUNTING FIRM</w:t>
            </w: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EQUITY COMPENSATION PLANS</w:t>
            </w: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44</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RELATED PERSON TRANSACTIONS</w:t>
            </w: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45</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102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GENERAL MATTERS</w:t>
            </w:r>
          </w:p>
        </w:tc>
        <w:tc>
          <w:tcPr>
            <w:tcW w:w="500" w:type="dxa"/>
            <w:vAlign w:val="bottom"/>
            <w:gridSpan w:val="4"/>
          </w:tcPr>
          <w:p>
            <w:pPr>
              <w:jc w:val="center"/>
              <w:ind w:left="234"/>
              <w:spacing w:after="0"/>
              <w:rPr>
                <w:sz w:val="20"/>
                <w:szCs w:val="20"/>
                <w:color w:val="auto"/>
              </w:rPr>
            </w:pPr>
            <w:r>
              <w:rPr>
                <w:rFonts w:ascii="Times New Roman" w:cs="Times New Roman" w:eastAsia="Times New Roman" w:hAnsi="Times New Roman"/>
                <w:sz w:val="17"/>
                <w:szCs w:val="17"/>
                <w:color w:val="0000FF"/>
              </w:rPr>
              <w:t>45</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378"/>
        </w:trPr>
        <w:tc>
          <w:tcPr>
            <w:tcW w:w="10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306070</wp:posOffset>
            </wp:positionV>
            <wp:extent cx="3380740" cy="4584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0740"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SURGERY PARTNERS, INC.</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340 Seven Springs Way, Suite 600</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Brentwood, Tennessee 37027</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IMPORTANT INFORMATION ABOUT THE ANNUAL MEETING AND VOTING</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Why is the Company soliciting my proxy?</w:t>
      </w:r>
    </w:p>
    <w:p>
      <w:pPr>
        <w:spacing w:after="0" w:line="159" w:lineRule="exact"/>
        <w:rPr>
          <w:sz w:val="20"/>
          <w:szCs w:val="20"/>
          <w:color w:val="auto"/>
        </w:rPr>
      </w:pPr>
    </w:p>
    <w:p>
      <w:pPr>
        <w:ind w:right="60" w:firstLine="309"/>
        <w:spacing w:after="0" w:line="262" w:lineRule="auto"/>
        <w:rPr>
          <w:sz w:val="20"/>
          <w:szCs w:val="20"/>
          <w:color w:val="auto"/>
        </w:rPr>
      </w:pPr>
      <w:r>
        <w:rPr>
          <w:rFonts w:ascii="Times New Roman" w:cs="Times New Roman" w:eastAsia="Times New Roman" w:hAnsi="Times New Roman"/>
          <w:sz w:val="17"/>
          <w:szCs w:val="17"/>
          <w:color w:val="auto"/>
        </w:rPr>
        <w:t>The Board of Directors (the "Board") of Surgery Partners, Inc. ("Surgery Partners," the "Company," "we," "us" or "our") is soliciting your proxy to vote at the 2026 annual meeting of stockholders (the "Annual Meeting") to be held solely by remote communication in a virtual meeting format on Friday, June 5, 2026, at 10:00 a.m. Central Daylight Time and any adjournments of the Annual Meeting.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can I attend the Annual Meeting?</w:t>
      </w:r>
    </w:p>
    <w:p>
      <w:pPr>
        <w:spacing w:after="0" w:line="159" w:lineRule="exact"/>
        <w:rPr>
          <w:sz w:val="20"/>
          <w:szCs w:val="20"/>
          <w:color w:val="auto"/>
        </w:rPr>
      </w:pPr>
    </w:p>
    <w:p>
      <w:pPr>
        <w:ind w:right="80" w:firstLine="309"/>
        <w:spacing w:after="0" w:line="271" w:lineRule="auto"/>
        <w:rPr>
          <w:sz w:val="20"/>
          <w:szCs w:val="20"/>
          <w:color w:val="auto"/>
        </w:rPr>
      </w:pPr>
      <w:r>
        <w:rPr>
          <w:rFonts w:ascii="Times New Roman" w:cs="Times New Roman" w:eastAsia="Times New Roman" w:hAnsi="Times New Roman"/>
          <w:sz w:val="17"/>
          <w:szCs w:val="17"/>
          <w:color w:val="auto"/>
        </w:rPr>
        <w:t>The Annual Meeting will be conducted exclusively by webcast. You are entitled to participate in the Annual Meeting only if you were a stockholder of the Company as of the close of business on April 8, 2026 (the "Record Date"), or if you hold a valid proxy for the Annual Meeting. No physical meeting will be held.</w:t>
      </w:r>
    </w:p>
    <w:p>
      <w:pPr>
        <w:spacing w:after="0" w:line="164" w:lineRule="exact"/>
        <w:rPr>
          <w:sz w:val="20"/>
          <w:szCs w:val="20"/>
          <w:color w:val="auto"/>
        </w:rPr>
      </w:pPr>
    </w:p>
    <w:p>
      <w:pPr>
        <w:ind w:right="160" w:firstLine="309"/>
        <w:spacing w:after="0" w:line="254" w:lineRule="auto"/>
        <w:rPr>
          <w:sz w:val="20"/>
          <w:szCs w:val="20"/>
          <w:color w:val="auto"/>
        </w:rPr>
      </w:pPr>
      <w:r>
        <w:rPr>
          <w:rFonts w:ascii="Times New Roman" w:cs="Times New Roman" w:eastAsia="Times New Roman" w:hAnsi="Times New Roman"/>
          <w:sz w:val="17"/>
          <w:szCs w:val="17"/>
          <w:color w:val="auto"/>
        </w:rPr>
        <w:t>You will be able to attend the Annual Meeting online and submit your questions during the meeting by visiting www.meetnow.global/MRTVYKW and entering the 15-digit control number found on the proxy card or voting instruction form. You also will be able to vote your shares online by attending the Annual Meeting by webcast.</w:t>
      </w:r>
    </w:p>
    <w:p>
      <w:pPr>
        <w:spacing w:after="0" w:line="192" w:lineRule="exact"/>
        <w:rPr>
          <w:sz w:val="20"/>
          <w:szCs w:val="20"/>
          <w:color w:val="auto"/>
        </w:rPr>
      </w:pPr>
    </w:p>
    <w:p>
      <w:pPr>
        <w:ind w:right="640" w:firstLine="309"/>
        <w:spacing w:after="0" w:line="271" w:lineRule="auto"/>
        <w:rPr>
          <w:sz w:val="20"/>
          <w:szCs w:val="20"/>
          <w:color w:val="auto"/>
        </w:rPr>
      </w:pPr>
      <w:r>
        <w:rPr>
          <w:rFonts w:ascii="Times New Roman" w:cs="Times New Roman" w:eastAsia="Times New Roman" w:hAnsi="Times New Roman"/>
          <w:sz w:val="17"/>
          <w:szCs w:val="17"/>
          <w:color w:val="auto"/>
        </w:rPr>
        <w:t>To participate in the Annual Meeting, you will need to review the information included on your Notice, on your proxy card or on the instructions that accompanied your proxy materials.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If you hold your shares through an intermediary, such as a bank or broker, you must register in advance using the instructions below.</w:t>
      </w:r>
    </w:p>
    <w:p>
      <w:pPr>
        <w:spacing w:after="0" w:line="230" w:lineRule="exact"/>
        <w:rPr>
          <w:sz w:val="20"/>
          <w:szCs w:val="20"/>
          <w:color w:val="auto"/>
        </w:rPr>
      </w:pPr>
    </w:p>
    <w:p>
      <w:pPr>
        <w:ind w:right="240" w:firstLine="309"/>
        <w:spacing w:after="0" w:line="271" w:lineRule="auto"/>
        <w:rPr>
          <w:sz w:val="20"/>
          <w:szCs w:val="20"/>
          <w:color w:val="auto"/>
        </w:rPr>
      </w:pPr>
      <w:r>
        <w:rPr>
          <w:rFonts w:ascii="Times New Roman" w:cs="Times New Roman" w:eastAsia="Times New Roman" w:hAnsi="Times New Roman"/>
          <w:sz w:val="17"/>
          <w:szCs w:val="17"/>
          <w:color w:val="auto"/>
        </w:rPr>
        <w:t>The virtual meeting will begin promptly at 10:00 a.m. Central Daylight Time. We encourage you to access the meeting prior to the start time leaving ample time for the check in. Please follow the registration instructions as outlined in this proxy statement.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Do I need to register to attend the Annual Meeting virtually on the internet?</w:t>
      </w:r>
    </w:p>
    <w:p>
      <w:pPr>
        <w:spacing w:after="0" w:line="159" w:lineRule="exact"/>
        <w:rPr>
          <w:sz w:val="20"/>
          <w:szCs w:val="20"/>
          <w:color w:val="auto"/>
        </w:rPr>
      </w:pPr>
    </w:p>
    <w:p>
      <w:pPr>
        <w:ind w:right="340" w:firstLine="309"/>
        <w:spacing w:after="0" w:line="271" w:lineRule="auto"/>
        <w:rPr>
          <w:sz w:val="20"/>
          <w:szCs w:val="20"/>
          <w:color w:val="auto"/>
        </w:rPr>
      </w:pPr>
      <w:r>
        <w:rPr>
          <w:rFonts w:ascii="Times New Roman" w:cs="Times New Roman" w:eastAsia="Times New Roman" w:hAnsi="Times New Roman"/>
          <w:sz w:val="17"/>
          <w:szCs w:val="17"/>
          <w:color w:val="auto"/>
        </w:rPr>
        <w:t>If you are a registered stockholder (i.e., you hold your shares through our transfer agent, Computershare), you do not need to register to attend the Annual Meeting virtually on the internet. Please follow the instructions on the notice or proxy card that you received.</w:t>
      </w:r>
    </w:p>
    <w:p>
      <w:pPr>
        <w:spacing w:after="0" w:line="186" w:lineRule="exact"/>
        <w:rPr>
          <w:sz w:val="20"/>
          <w:szCs w:val="20"/>
          <w:color w:val="auto"/>
        </w:rPr>
      </w:pPr>
    </w:p>
    <w:p>
      <w:pPr>
        <w:ind w:firstLine="309"/>
        <w:spacing w:after="0" w:line="251" w:lineRule="auto"/>
        <w:rPr>
          <w:sz w:val="20"/>
          <w:szCs w:val="20"/>
          <w:color w:val="auto"/>
        </w:rPr>
      </w:pPr>
      <w:r>
        <w:rPr>
          <w:rFonts w:ascii="Times New Roman" w:cs="Times New Roman" w:eastAsia="Times New Roman" w:hAnsi="Times New Roman"/>
          <w:sz w:val="17"/>
          <w:szCs w:val="17"/>
          <w:b w:val="1"/>
          <w:bCs w:val="1"/>
          <w:color w:val="auto"/>
        </w:rPr>
        <w:t>If you hold your shares through an intermediary, such as a bank or broker, you must register in advance to attend the Annual Meeting virtually on the internet. To register to attend the Annual Meeting online by webcast you must submit proof of your proxy power (legal proxy) reflecting your Company holdings along with your name and email address to Computershare, Inc. (a subsidiary of Computershare Trust Company, N.A.), the Company’s transfer agent. Requests for registration must be labeled as “Legal Proxy” and be received no later than 4:00 p.m., Central Daylight Time, on June 2, 2026. You will receive a confirmation of your registration by email after we receive your registration materials.</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Requests for registration should be directed to us at the following:</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By email</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Forward the email from your broker, or attach an image of your legal proxy, to legalproxy@computershare.com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By mail</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Computershare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Surgery Partners, Inc. Legal Proxy</w:t>
      </w:r>
    </w:p>
    <w:p>
      <w:pPr>
        <w:ind w:left="320"/>
        <w:spacing w:after="0" w:line="237" w:lineRule="auto"/>
        <w:rPr>
          <w:sz w:val="20"/>
          <w:szCs w:val="20"/>
          <w:color w:val="auto"/>
        </w:rPr>
      </w:pPr>
      <w:r>
        <w:rPr>
          <w:rFonts w:ascii="Times New Roman" w:cs="Times New Roman" w:eastAsia="Times New Roman" w:hAnsi="Times New Roman"/>
          <w:sz w:val="17"/>
          <w:szCs w:val="17"/>
          <w:color w:val="auto"/>
        </w:rPr>
        <w:t>P.O. Box 43001</w:t>
      </w:r>
    </w:p>
    <w:p>
      <w:pPr>
        <w:ind w:left="320"/>
        <w:spacing w:after="0"/>
        <w:rPr>
          <w:sz w:val="20"/>
          <w:szCs w:val="20"/>
          <w:color w:val="auto"/>
        </w:rPr>
      </w:pPr>
      <w:r>
        <w:rPr>
          <w:rFonts w:ascii="Times New Roman" w:cs="Times New Roman" w:eastAsia="Times New Roman" w:hAnsi="Times New Roman"/>
          <w:sz w:val="17"/>
          <w:szCs w:val="17"/>
          <w:color w:val="auto"/>
        </w:rPr>
        <w:t>Providence, RI 02940-3001</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If you attend the Annual Meeting virtually, you will be considered present at the meeting.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if I have trouble accessing the Annual Meeting virtually?</w:t>
      </w:r>
    </w:p>
    <w:p>
      <w:pPr>
        <w:spacing w:after="0" w:line="171" w:lineRule="exact"/>
        <w:rPr>
          <w:sz w:val="20"/>
          <w:szCs w:val="20"/>
          <w:color w:val="auto"/>
        </w:rPr>
      </w:pPr>
    </w:p>
    <w:p>
      <w:pPr>
        <w:ind w:right="140" w:firstLine="309"/>
        <w:spacing w:after="0" w:line="254" w:lineRule="auto"/>
        <w:rPr>
          <w:sz w:val="20"/>
          <w:szCs w:val="20"/>
          <w:color w:val="auto"/>
        </w:rPr>
      </w:pPr>
      <w:r>
        <w:rPr>
          <w:rFonts w:ascii="Times New Roman" w:cs="Times New Roman" w:eastAsia="Times New Roman" w:hAnsi="Times New Roman"/>
          <w:sz w:val="17"/>
          <w:szCs w:val="17"/>
          <w:color w:val="auto"/>
        </w:rPr>
        <w:t>The virtual meeting platform is fully supported across browsers (MS Edge, Firefox, Chrome and Safari) and devices (desktops, laptops, tablets and cell phones) running the most up-to-date version of applicable software and plugins. Please note that internet Explorer is not a supported browser. Participants should ensure that they have a strong WiFi connection wherever they intend to participate in the meeting. We encourage you to access the meeting prior to the start time. For further assistance should you need it you may call Local 1-888-724-2416 or International +1 781-575-2748.</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proxy materials are available and how do I receive them?</w:t>
      </w:r>
    </w:p>
    <w:p>
      <w:pPr>
        <w:spacing w:after="0" w:line="171" w:lineRule="exact"/>
        <w:rPr>
          <w:sz w:val="20"/>
          <w:szCs w:val="20"/>
          <w:color w:val="auto"/>
        </w:rPr>
      </w:pPr>
    </w:p>
    <w:p>
      <w:pPr>
        <w:ind w:firstLine="309"/>
        <w:spacing w:after="0" w:line="247" w:lineRule="auto"/>
        <w:rPr>
          <w:sz w:val="20"/>
          <w:szCs w:val="20"/>
          <w:color w:val="auto"/>
        </w:rPr>
      </w:pPr>
      <w:r>
        <w:rPr>
          <w:rFonts w:ascii="Times New Roman" w:cs="Times New Roman" w:eastAsia="Times New Roman" w:hAnsi="Times New Roman"/>
          <w:sz w:val="17"/>
          <w:szCs w:val="17"/>
          <w:color w:val="auto"/>
        </w:rPr>
        <w:t>This Proxy Statement, the proxy card and our Annual Report to Stockholders for the year ended December 31, 2025 (the "Annual Report to Stockholders") are being made available to you on the internet instead of mailing a printed copy of these materials to each stockholder. The Notice of Internet Availability of Proxy Materials (the "Notice of Internet Availability") is scheduled to be distributed on or about April 23, 2026. The Notice of Internet Availability contains instructions as to how stockholders may access and review the proxy materials on the internet, including information about how stockholders may vote by telephone or over the internet. You will not receive a printed or email copy of these materials unless you make such a request by following the instructions on the Notice of Internet Availability.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proposals will be voted on at the Annual Meeting?</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are three proposals scheduled to be voted on at the Annual Meeting:</w:t>
      </w:r>
    </w:p>
    <w:p>
      <w:pPr>
        <w:spacing w:after="0" w:line="153" w:lineRule="exact"/>
        <w:rPr>
          <w:sz w:val="20"/>
          <w:szCs w:val="20"/>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the three Class II director nominees named in this Proxy Statement for a three-year term (Proposal 1);</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on an advisory basis, of the compensation paid by the Company to its named executive officers (Proposal 2); and</w:t>
      </w:r>
    </w:p>
    <w:p>
      <w:pPr>
        <w:spacing w:after="0" w:line="152" w:lineRule="exact"/>
        <w:rPr>
          <w:rFonts w:ascii="Times New Roman" w:cs="Times New Roman" w:eastAsia="Times New Roman" w:hAnsi="Times New Roman"/>
          <w:sz w:val="17"/>
          <w:szCs w:val="17"/>
          <w:color w:val="auto"/>
        </w:rPr>
      </w:pPr>
    </w:p>
    <w:p>
      <w:pPr>
        <w:ind w:left="620" w:right="100" w:hanging="307"/>
        <w:spacing w:after="0" w:line="271"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ratification of the Audit Committee's appointment of Ernst &amp; Young LLP ("EY") as the Company's independent registered public accounting firm for the fiscal year ending December 31, 2026 (Proposal 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is the Board's voting recommendation?</w:t>
      </w:r>
    </w:p>
    <w:p>
      <w:pPr>
        <w:spacing w:after="0" w:line="155" w:lineRule="exact"/>
        <w:rPr>
          <w:sz w:val="20"/>
          <w:szCs w:val="20"/>
          <w:color w:val="auto"/>
        </w:rPr>
      </w:pPr>
    </w:p>
    <w:p>
      <w:pPr>
        <w:ind w:right="240" w:firstLine="309"/>
        <w:spacing w:after="0" w:line="264" w:lineRule="auto"/>
        <w:rPr>
          <w:sz w:val="20"/>
          <w:szCs w:val="20"/>
          <w:color w:val="auto"/>
        </w:rPr>
      </w:pPr>
      <w:r>
        <w:rPr>
          <w:rFonts w:ascii="Times New Roman" w:cs="Times New Roman" w:eastAsia="Times New Roman" w:hAnsi="Times New Roman"/>
          <w:sz w:val="17"/>
          <w:szCs w:val="17"/>
          <w:color w:val="auto"/>
        </w:rPr>
        <w:t xml:space="preserve">The Board recommends that you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the three Class II director nominees named in this Proxy Statement,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approval, on an advisory basis, of the compensation paid by the Company to its named executive officers,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ratification of the Audit Committee's appointment of EY as the Company's independent registered public accounting firm for the fiscal year ending December 31, 2026.</w:t>
      </w:r>
    </w:p>
    <w:p>
      <w:pPr>
        <w:spacing w:after="0" w:line="180" w:lineRule="exact"/>
        <w:rPr>
          <w:sz w:val="20"/>
          <w:szCs w:val="20"/>
          <w:color w:val="auto"/>
        </w:rPr>
      </w:pPr>
    </w:p>
    <w:p>
      <w:pPr>
        <w:ind w:right="120" w:firstLine="309"/>
        <w:spacing w:after="0" w:line="255" w:lineRule="auto"/>
        <w:rPr>
          <w:sz w:val="20"/>
          <w:szCs w:val="20"/>
          <w:color w:val="auto"/>
        </w:rPr>
      </w:pPr>
      <w:r>
        <w:rPr>
          <w:rFonts w:ascii="Times New Roman" w:cs="Times New Roman" w:eastAsia="Times New Roman" w:hAnsi="Times New Roman"/>
          <w:sz w:val="17"/>
          <w:szCs w:val="17"/>
          <w:color w:val="auto"/>
        </w:rPr>
        <w:t xml:space="preserve">Except with respect to broker non-votes discussed below, if you submit a proxy but do not indicate any voting instructions, your shares will be voted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the three Class II director nominees named in this Proxy Statement,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approval, on an advisory basis, of the compensation paid by the Company to its named executive officers,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ratification of the Audit Committee's appointment of EY as the Company's independent registered public accounting firm for the fiscal year ending December 31,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is the quorum requirement for the Annual Meeting?</w:t>
      </w:r>
    </w:p>
    <w:p>
      <w:pPr>
        <w:spacing w:after="0" w:line="171" w:lineRule="exact"/>
        <w:rPr>
          <w:sz w:val="20"/>
          <w:szCs w:val="20"/>
          <w:color w:val="auto"/>
        </w:rPr>
      </w:pPr>
    </w:p>
    <w:p>
      <w:pPr>
        <w:ind w:firstLine="309"/>
        <w:spacing w:after="0" w:line="254" w:lineRule="auto"/>
        <w:rPr>
          <w:sz w:val="20"/>
          <w:szCs w:val="20"/>
          <w:color w:val="auto"/>
        </w:rPr>
      </w:pPr>
      <w:r>
        <w:rPr>
          <w:rFonts w:ascii="Times New Roman" w:cs="Times New Roman" w:eastAsia="Times New Roman" w:hAnsi="Times New Roman"/>
          <w:sz w:val="17"/>
          <w:szCs w:val="17"/>
          <w:color w:val="auto"/>
        </w:rPr>
        <w:t>The quorum requirement for holding the Annual Meeting and transacting business is a majority of the voting power of the outstanding shares entitled to be voted and present at the meeting. The shares may be present or represented by proxy at the Annual Meeting. Both abstentions and broker non-votes will be counted as present for the purpose of determining the presence of a quorum.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shares owned by me can be voted at the Annual Meeting?</w:t>
      </w:r>
    </w:p>
    <w:p>
      <w:pPr>
        <w:spacing w:after="0" w:line="171" w:lineRule="exact"/>
        <w:rPr>
          <w:sz w:val="20"/>
          <w:szCs w:val="20"/>
          <w:color w:val="auto"/>
        </w:rPr>
      </w:pPr>
    </w:p>
    <w:p>
      <w:pPr>
        <w:ind w:right="80" w:firstLine="309"/>
        <w:spacing w:after="0" w:line="254" w:lineRule="auto"/>
        <w:rPr>
          <w:sz w:val="20"/>
          <w:szCs w:val="20"/>
          <w:color w:val="auto"/>
        </w:rPr>
      </w:pPr>
      <w:r>
        <w:rPr>
          <w:rFonts w:ascii="Times New Roman" w:cs="Times New Roman" w:eastAsia="Times New Roman" w:hAnsi="Times New Roman"/>
          <w:sz w:val="17"/>
          <w:szCs w:val="17"/>
          <w:color w:val="auto"/>
        </w:rPr>
        <w:t>All shares owned by you as of the close of business on the Record Date may be voted. You may cast one vote per share of common stock that you held on the Record Date. These include shares that are: (1) held directly in your name as the stockholder of record, and (2) held for you as the beneficial owner through a stockbroker, bank or other nominee. On the Record Date, the Company had 130,798,102 shares of common stock issued and outstanding.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is the difference between holding shares as a stockholder of record and as a beneficial owner?</w:t>
      </w:r>
    </w:p>
    <w:p>
      <w:pPr>
        <w:spacing w:after="0" w:line="159" w:lineRule="exact"/>
        <w:rPr>
          <w:sz w:val="20"/>
          <w:szCs w:val="20"/>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Most stockholders of the Company hold their shares through a broker, bank or other nominee rather than directly in their own name. As summarized below, there are some differences between shares held of record and those owned beneficially.</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Stockholder of Record</w:t>
      </w:r>
    </w:p>
    <w:p>
      <w:pPr>
        <w:spacing w:after="0" w:line="159" w:lineRule="exact"/>
        <w:rPr>
          <w:sz w:val="20"/>
          <w:szCs w:val="20"/>
          <w:color w:val="auto"/>
        </w:rPr>
      </w:pPr>
    </w:p>
    <w:p>
      <w:pPr>
        <w:ind w:right="20" w:firstLine="309"/>
        <w:spacing w:after="0" w:line="262" w:lineRule="auto"/>
        <w:rPr>
          <w:sz w:val="20"/>
          <w:szCs w:val="20"/>
          <w:color w:val="auto"/>
        </w:rPr>
      </w:pPr>
      <w:r>
        <w:rPr>
          <w:rFonts w:ascii="Times New Roman" w:cs="Times New Roman" w:eastAsia="Times New Roman" w:hAnsi="Times New Roman"/>
          <w:sz w:val="17"/>
          <w:szCs w:val="17"/>
          <w:color w:val="auto"/>
        </w:rPr>
        <w:t>If your shares are registered directly in your name with the Company's transfer agent, Computershare, Inc. (a subsidiary of Computershare Trust Company, N.A.), you are the stockholder of record with respect to those shares, and the proxy materials are being sent directly to you. As the stockholder of record, you have the right to direct your vote by proxy or to vote virtually at the Annual Meeting.</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Beneficial Owner</w:t>
      </w:r>
    </w:p>
    <w:p>
      <w:pPr>
        <w:spacing w:after="0" w:line="171" w:lineRule="exact"/>
        <w:rPr>
          <w:sz w:val="20"/>
          <w:szCs w:val="20"/>
          <w:color w:val="auto"/>
        </w:rPr>
      </w:pPr>
    </w:p>
    <w:p>
      <w:pPr>
        <w:ind w:firstLine="309"/>
        <w:spacing w:after="0" w:line="249" w:lineRule="auto"/>
        <w:rPr>
          <w:sz w:val="20"/>
          <w:szCs w:val="20"/>
          <w:color w:val="auto"/>
        </w:rPr>
      </w:pPr>
      <w:r>
        <w:rPr>
          <w:rFonts w:ascii="Times New Roman" w:cs="Times New Roman" w:eastAsia="Times New Roman" w:hAnsi="Times New Roman"/>
          <w:sz w:val="17"/>
          <w:szCs w:val="17"/>
          <w:color w:val="auto"/>
        </w:rPr>
        <w:t>If your shares are held in a stock brokerage account or by a bank or other nominee, you are considered the beneficial owner and these proxy materials are being forwarded to you by your broker, bank or nominee who is the stockholder of record with respect to such shares. As the beneficial owner, you are invited to attend the Annual Meeting. You also have the right to direct your broker on how to vote these shares. Your broker or nominee should have enclosed a voting instruction card for you to direct your broker or nominee how to vote your shares. However, shares held in "street name" may be voted virtually by you only if you obtain a signed proxy from the record holder (stock brokerage, bank or other nominee) giving you the right to vote the shares.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can I vote my shares at the Annual Meeting?</w:t>
      </w:r>
    </w:p>
    <w:p>
      <w:pPr>
        <w:spacing w:after="0" w:line="159" w:lineRule="exact"/>
        <w:rPr>
          <w:sz w:val="20"/>
          <w:szCs w:val="20"/>
          <w:color w:val="auto"/>
        </w:rPr>
      </w:pPr>
    </w:p>
    <w:p>
      <w:pPr>
        <w:ind w:right="40" w:firstLine="309"/>
        <w:spacing w:after="0" w:line="243" w:lineRule="auto"/>
        <w:rPr>
          <w:sz w:val="20"/>
          <w:szCs w:val="20"/>
          <w:color w:val="auto"/>
        </w:rPr>
      </w:pPr>
      <w:r>
        <w:rPr>
          <w:rFonts w:ascii="Times New Roman" w:cs="Times New Roman" w:eastAsia="Times New Roman" w:hAnsi="Times New Roman"/>
          <w:sz w:val="17"/>
          <w:szCs w:val="17"/>
          <w:color w:val="auto"/>
        </w:rPr>
        <w:t>If you choose to vote your shares at the Annual Meeting, you may do so by visiting www.meetnow.global/MRTVYKW and entering the 15-digit control number found on the proxy card or voting instruction form and following the instructions on the website for voting your shares at the meeting. Even if you plan to attend the Annual Meeting, the Company recommends that you vote your shares in advance as described below so that your vote will be counted if you later decide not to attend the Annual Meeting.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can I vote my shares without attending the Annual Meeting?</w:t>
      </w:r>
    </w:p>
    <w:p>
      <w:pPr>
        <w:spacing w:after="0" w:line="171" w:lineRule="exact"/>
        <w:rPr>
          <w:sz w:val="20"/>
          <w:szCs w:val="20"/>
          <w:color w:val="auto"/>
        </w:rPr>
      </w:pPr>
    </w:p>
    <w:p>
      <w:pPr>
        <w:ind w:right="60" w:firstLine="309"/>
        <w:spacing w:after="0" w:line="249" w:lineRule="auto"/>
        <w:rPr>
          <w:sz w:val="20"/>
          <w:szCs w:val="20"/>
          <w:color w:val="auto"/>
        </w:rPr>
      </w:pPr>
      <w:r>
        <w:rPr>
          <w:rFonts w:ascii="Times New Roman" w:cs="Times New Roman" w:eastAsia="Times New Roman" w:hAnsi="Times New Roman"/>
          <w:sz w:val="17"/>
          <w:szCs w:val="17"/>
          <w:color w:val="auto"/>
        </w:rPr>
        <w:t>Whether you hold your shares directly as the stockholder of record or beneficially in "street name," you may direct your vote without attending the Annual Meeting by proxy. You can vote by following the instructions on the Notice of Internet Availability which includes information about how stockholders may submit proxies by telephone or over the internet. Alternatively, upon request, you can vote by proxy by mail via a proxy card by marking your selections on the proxy card, dating and signing your name exactly as it appears on the proxy card and mailing the proxy card in the pre-paid envelope that will be provided to you. Mailed proxy cards must be received no later than June 4, 2026 in order to be counted for the Annual Meeting.</w:t>
      </w:r>
    </w:p>
    <w:p>
      <w:pPr>
        <w:spacing w:after="0" w:line="198" w:lineRule="exact"/>
        <w:rPr>
          <w:sz w:val="20"/>
          <w:szCs w:val="20"/>
          <w:color w:val="auto"/>
        </w:rPr>
      </w:pPr>
    </w:p>
    <w:p>
      <w:pPr>
        <w:ind w:right="460" w:firstLine="309"/>
        <w:spacing w:after="0" w:line="287" w:lineRule="auto"/>
        <w:rPr>
          <w:sz w:val="20"/>
          <w:szCs w:val="20"/>
          <w:color w:val="auto"/>
        </w:rPr>
      </w:pPr>
      <w:r>
        <w:rPr>
          <w:rFonts w:ascii="Times New Roman" w:cs="Times New Roman" w:eastAsia="Times New Roman" w:hAnsi="Times New Roman"/>
          <w:sz w:val="17"/>
          <w:szCs w:val="17"/>
          <w:color w:val="auto"/>
        </w:rPr>
        <w:t>If you are a beneficial owner, follow the instructions on the voting instruction card provided by your broker, bank or other intermediary. We urge you to review the proxy materials carefully before you vote.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 I revoke my proxy or change my vote?</w:t>
      </w:r>
    </w:p>
    <w:p>
      <w:pPr>
        <w:spacing w:after="0" w:line="159" w:lineRule="exact"/>
        <w:rPr>
          <w:sz w:val="20"/>
          <w:szCs w:val="20"/>
          <w:color w:val="auto"/>
        </w:rPr>
      </w:pPr>
    </w:p>
    <w:p>
      <w:pPr>
        <w:ind w:right="280" w:firstLine="309"/>
        <w:spacing w:after="0" w:line="254" w:lineRule="auto"/>
        <w:rPr>
          <w:sz w:val="20"/>
          <w:szCs w:val="20"/>
          <w:color w:val="auto"/>
        </w:rPr>
      </w:pPr>
      <w:r>
        <w:rPr>
          <w:rFonts w:ascii="Times New Roman" w:cs="Times New Roman" w:eastAsia="Times New Roman" w:hAnsi="Times New Roman"/>
          <w:sz w:val="17"/>
          <w:szCs w:val="17"/>
          <w:color w:val="auto"/>
        </w:rPr>
        <w:t>You may revoke your proxy or change your voting instructions prior to the vote at the Annual Meeting. You may enter a new vote by mailing a new proxy card or new voting instruction card bearing a later date (which will automatically revoke your earlier voting instructions). Your new vote must be received by 11:59 p.m. Central Daylight Time on June 4, 2026. You may also enter a new vote by attending the Annual Meeting and voting during the meeting. Your attendance at the Annual Meeting will not cause your previously granted proxy to be revoked unless you specifically so request.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are votes counted?</w:t>
      </w:r>
    </w:p>
    <w:p>
      <w:pPr>
        <w:spacing w:after="0" w:line="159" w:lineRule="exact"/>
        <w:rPr>
          <w:sz w:val="20"/>
          <w:szCs w:val="20"/>
          <w:color w:val="auto"/>
        </w:rPr>
      </w:pPr>
    </w:p>
    <w:p>
      <w:pPr>
        <w:ind w:right="60" w:firstLine="309"/>
        <w:spacing w:after="0" w:line="271" w:lineRule="auto"/>
        <w:rPr>
          <w:sz w:val="20"/>
          <w:szCs w:val="20"/>
          <w:color w:val="auto"/>
        </w:rPr>
      </w:pPr>
      <w:r>
        <w:rPr>
          <w:rFonts w:ascii="Times New Roman" w:cs="Times New Roman" w:eastAsia="Times New Roman" w:hAnsi="Times New Roman"/>
          <w:sz w:val="17"/>
          <w:szCs w:val="17"/>
          <w:color w:val="auto"/>
        </w:rPr>
        <w:t>For Proposal 1, your vote may be cast "FOR" each Class II director nominee, or you may "WITHHOLD" from voting. Shares voting "WITHHOLD" have no effect on the election of directors.</w:t>
      </w:r>
    </w:p>
    <w:p>
      <w:pPr>
        <w:spacing w:after="0" w:line="190" w:lineRule="exact"/>
        <w:rPr>
          <w:sz w:val="20"/>
          <w:szCs w:val="20"/>
          <w:color w:val="auto"/>
        </w:rPr>
      </w:pPr>
    </w:p>
    <w:p>
      <w:pPr>
        <w:ind w:right="120" w:firstLine="309"/>
        <w:spacing w:after="0" w:line="271" w:lineRule="auto"/>
        <w:rPr>
          <w:sz w:val="20"/>
          <w:szCs w:val="20"/>
          <w:color w:val="auto"/>
        </w:rPr>
      </w:pPr>
      <w:r>
        <w:rPr>
          <w:rFonts w:ascii="Times New Roman" w:cs="Times New Roman" w:eastAsia="Times New Roman" w:hAnsi="Times New Roman"/>
          <w:sz w:val="17"/>
          <w:szCs w:val="17"/>
          <w:color w:val="auto"/>
        </w:rPr>
        <w:t>For Proposals 2 and 3, your vote may be cast "FOR" or "AGAINST" or you may "ABSTAIN." If you "ABSTAIN" on one of these proposals, it has no effect on the outcome because such proposals are determined based on the majority of votes cast on the applicable matter.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are abstentions and broker non-votes treated for determining a quorum and counting votes?</w:t>
      </w:r>
    </w:p>
    <w:p>
      <w:pPr>
        <w:spacing w:after="0" w:line="171" w:lineRule="exact"/>
        <w:rPr>
          <w:sz w:val="20"/>
          <w:szCs w:val="20"/>
          <w:color w:val="auto"/>
        </w:rPr>
      </w:pPr>
    </w:p>
    <w:p>
      <w:pPr>
        <w:jc w:val="both"/>
        <w:ind w:right="280" w:firstLine="309"/>
        <w:spacing w:after="0" w:line="254" w:lineRule="auto"/>
        <w:rPr>
          <w:sz w:val="20"/>
          <w:szCs w:val="20"/>
          <w:color w:val="auto"/>
        </w:rPr>
      </w:pPr>
      <w:r>
        <w:rPr>
          <w:rFonts w:ascii="Times New Roman" w:cs="Times New Roman" w:eastAsia="Times New Roman" w:hAnsi="Times New Roman"/>
          <w:sz w:val="17"/>
          <w:szCs w:val="17"/>
          <w:color w:val="auto"/>
        </w:rPr>
        <w:t>Any shares represented by proxies that are marked to "ABSTAIN" from voting on a proposal will be counted as present in determining whether we have a quorum. They will also be counted in determining the total number of shares entitled to vote on a proposal. Abstentions will not be counted as votes "FOR" or "AGAINST" any proposal and accordingly are not counted for purposes of determining the number of votes cast on any proposal.</w:t>
      </w:r>
    </w:p>
    <w:p>
      <w:pPr>
        <w:spacing w:after="0" w:line="204" w:lineRule="exact"/>
        <w:rPr>
          <w:sz w:val="20"/>
          <w:szCs w:val="20"/>
          <w:color w:val="auto"/>
        </w:rPr>
      </w:pPr>
    </w:p>
    <w:p>
      <w:pPr>
        <w:ind w:right="220" w:firstLine="309"/>
        <w:spacing w:after="0" w:line="271" w:lineRule="auto"/>
        <w:rPr>
          <w:sz w:val="20"/>
          <w:szCs w:val="20"/>
          <w:color w:val="auto"/>
        </w:rPr>
      </w:pPr>
      <w:r>
        <w:rPr>
          <w:rFonts w:ascii="Times New Roman" w:cs="Times New Roman" w:eastAsia="Times New Roman" w:hAnsi="Times New Roman"/>
          <w:sz w:val="17"/>
          <w:szCs w:val="17"/>
          <w:color w:val="auto"/>
        </w:rPr>
        <w:t>If your shares are held in "street name" and you do not instruct your broker on how to vote your shares, your broker, in its discretion, may either leave your shares unvoted or, on routine matters, may use its discretionary authority to vote your shares. If your</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broker returns a proxy card but does not vote your shares, this results in a "broker non-vote." Generally, broker non-votes occur when shares held by a broker for a beneficial owner are not voted with respect to a particular proposal because (i) the broker has not received voting instructions from the beneficial owner and (ii) the broker lacks discretionary voting power to vote such shares.</w:t>
      </w:r>
    </w:p>
    <w:p>
      <w:pPr>
        <w:spacing w:after="0" w:line="185" w:lineRule="exact"/>
        <w:rPr>
          <w:sz w:val="20"/>
          <w:szCs w:val="20"/>
          <w:color w:val="auto"/>
        </w:rPr>
      </w:pPr>
    </w:p>
    <w:p>
      <w:pPr>
        <w:ind w:right="20" w:firstLine="309"/>
        <w:spacing w:after="0" w:line="250" w:lineRule="auto"/>
        <w:rPr>
          <w:sz w:val="20"/>
          <w:szCs w:val="20"/>
          <w:color w:val="auto"/>
        </w:rPr>
      </w:pPr>
      <w:r>
        <w:rPr>
          <w:rFonts w:ascii="Times New Roman" w:cs="Times New Roman" w:eastAsia="Times New Roman" w:hAnsi="Times New Roman"/>
          <w:sz w:val="17"/>
          <w:szCs w:val="17"/>
          <w:color w:val="auto"/>
        </w:rPr>
        <w:t>Proposal 1 (election of the three Class II director nominees) and Proposal 2 (approval, on an advisory basis, of the compensation paid by the Company to its named executive officers) are considered non-routine matters, and without your instruction, your broker cannot vote your shares on those proposals. Proposal 3 (ratifying the appointment of our independent registered public accounting firm) is considered a routine matter for which your broker has discretionary authority to vote your shares. As a result, broker non-votes with respect to any proposal will be treated as shares present for purposes of determining a quorum at the Annual Meeting. Broker non-votes will not be counted as votes "FOR" or "AGAINST" any proposal and accordingly are not counted for purposes of determining the number of votes cast on any proposal. Therefore, broker non-votes will have no effect on the outcome of any proposal.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is the voting requirement to approve each of the proposals?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Proposal 1, Election of Director Nominees</w:t>
      </w:r>
      <w:r>
        <w:rPr>
          <w:rFonts w:ascii="Times New Roman" w:cs="Times New Roman" w:eastAsia="Times New Roman" w:hAnsi="Times New Roman"/>
          <w:sz w:val="17"/>
          <w:szCs w:val="17"/>
          <w:color w:val="auto"/>
        </w:rPr>
        <w:t>: Under our plurality voting standard, the three nominees for director who receive the most votes will be elected.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Therefore, if you do not vote for a nominee, or you "WITHHOLD" your vote for a nominee, it will have no effect on the outcome of the election of directors.</w:t>
      </w:r>
    </w:p>
    <w:p>
      <w:pPr>
        <w:spacing w:after="0"/>
        <w:rPr>
          <w:sz w:val="20"/>
          <w:szCs w:val="20"/>
          <w:color w:val="auto"/>
        </w:rPr>
      </w:pPr>
      <w:r>
        <w:rPr>
          <w:rFonts w:ascii="Times New Roman" w:cs="Times New Roman" w:eastAsia="Times New Roman" w:hAnsi="Times New Roman"/>
          <w:sz w:val="17"/>
          <w:szCs w:val="17"/>
          <w:color w:val="auto"/>
        </w:rPr>
        <w:t>Additionally, broker non-votes will have no effect on the outcome of the election of directors.</w:t>
      </w:r>
    </w:p>
    <w:p>
      <w:pPr>
        <w:spacing w:after="0" w:line="212" w:lineRule="exact"/>
        <w:rPr>
          <w:sz w:val="20"/>
          <w:szCs w:val="20"/>
          <w:color w:val="auto"/>
        </w:rPr>
      </w:pPr>
    </w:p>
    <w:p>
      <w:pPr>
        <w:jc w:val="both"/>
        <w:ind w:right="140" w:firstLine="309"/>
        <w:spacing w:after="0" w:line="262" w:lineRule="auto"/>
        <w:rPr>
          <w:sz w:val="20"/>
          <w:szCs w:val="20"/>
          <w:color w:val="auto"/>
        </w:rPr>
      </w:pPr>
      <w:r>
        <w:rPr>
          <w:rFonts w:ascii="Times New Roman" w:cs="Times New Roman" w:eastAsia="Times New Roman" w:hAnsi="Times New Roman"/>
          <w:sz w:val="17"/>
          <w:szCs w:val="17"/>
          <w:u w:val="single" w:color="auto"/>
          <w:color w:val="auto"/>
        </w:rPr>
        <w:t>Proposal 2, Advisory Vote on Executive Compensation</w:t>
      </w:r>
      <w:r>
        <w:rPr>
          <w:rFonts w:ascii="Times New Roman" w:cs="Times New Roman" w:eastAsia="Times New Roman" w:hAnsi="Times New Roman"/>
          <w:sz w:val="17"/>
          <w:szCs w:val="17"/>
          <w:color w:val="auto"/>
        </w:rPr>
        <w:t>: Under our majority voting standard, the approval, on an advisory basis, of the compensation paid by the Company to its named executive officers requires that the number of votes present, in person or by proxy, at the Annual Meeting and properly cast "FOR" the proposal exceed the number of votes cast "AGAINST" the proposal. Abstentions and broker non-votes will have no effect on the outcome of this proposal.</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Proposal 3, Ratification of the Audit Committee’s Appointment of Independent Registered Public Accounting Firm</w:t>
      </w:r>
      <w:r>
        <w:rPr>
          <w:rFonts w:ascii="Times New Roman" w:cs="Times New Roman" w:eastAsia="Times New Roman" w:hAnsi="Times New Roman"/>
          <w:sz w:val="17"/>
          <w:szCs w:val="17"/>
          <w:color w:val="auto"/>
        </w:rPr>
        <w:t>: Under our majority voting standard, the</w:t>
      </w:r>
    </w:p>
    <w:p>
      <w:pPr>
        <w:spacing w:after="0" w:line="28"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17"/>
          <w:szCs w:val="17"/>
          <w:color w:val="auto"/>
        </w:rPr>
        <w:t>ratification of the Audit Committee’s appointment of EY as our independent registered public accounting firm for fiscal year 2026 requires that the number of votes present, in person or by proxy, at the Annual Meeting and properly cast "FOR" the proposal exceed the number of votes cast "AGAINST" the proposal. Abstentions will have no effect on the outcome of this Proposal 3. Brokers, banks and other nominees have discretionary voting power with respect to this proposal, and therefore we do not expect broker non-votes with respect to this proposal.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Where can I find the voting results of the Annual Meeting?</w:t>
      </w:r>
    </w:p>
    <w:p>
      <w:pPr>
        <w:spacing w:after="0" w:line="236" w:lineRule="exact"/>
        <w:rPr>
          <w:sz w:val="20"/>
          <w:szCs w:val="20"/>
          <w:color w:val="auto"/>
        </w:rPr>
      </w:pPr>
    </w:p>
    <w:p>
      <w:pPr>
        <w:ind w:right="20" w:firstLine="309"/>
        <w:spacing w:after="0" w:line="262" w:lineRule="auto"/>
        <w:rPr>
          <w:sz w:val="20"/>
          <w:szCs w:val="20"/>
          <w:color w:val="auto"/>
        </w:rPr>
      </w:pPr>
      <w:r>
        <w:rPr>
          <w:rFonts w:ascii="Times New Roman" w:cs="Times New Roman" w:eastAsia="Times New Roman" w:hAnsi="Times New Roman"/>
          <w:sz w:val="17"/>
          <w:szCs w:val="17"/>
          <w:color w:val="auto"/>
        </w:rPr>
        <w:t>We will announce preliminary voting results at the Annual Meeting and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happens if additional proposals are presented at the Annual Meeting?</w:t>
      </w:r>
    </w:p>
    <w:p>
      <w:pPr>
        <w:spacing w:after="0" w:line="249" w:lineRule="exact"/>
        <w:rPr>
          <w:sz w:val="20"/>
          <w:szCs w:val="20"/>
          <w:color w:val="auto"/>
        </w:rPr>
      </w:pPr>
    </w:p>
    <w:p>
      <w:pPr>
        <w:ind w:right="20" w:firstLine="309"/>
        <w:spacing w:after="0" w:line="247" w:lineRule="auto"/>
        <w:rPr>
          <w:sz w:val="20"/>
          <w:szCs w:val="20"/>
          <w:color w:val="auto"/>
        </w:rPr>
      </w:pPr>
      <w:r>
        <w:rPr>
          <w:rFonts w:ascii="Times New Roman" w:cs="Times New Roman" w:eastAsia="Times New Roman" w:hAnsi="Times New Roman"/>
          <w:sz w:val="17"/>
          <w:szCs w:val="17"/>
          <w:color w:val="auto"/>
        </w:rPr>
        <w:t>Other than the three proposals described in this Proxy Statement, we do not expect any matters to be presented for a vote at the Annual Meeting. If other matters are properly presented to the stockholders for action at the Annual Meeting or any adjournments or postponements thereof, it is the intention of the persons named as proxy holders in the proxy card (J. Eric Evans, our Chief Executive Officer, and Jennifer B. Baldock, our Executive Vice President and Chief Administrative and Development Officer) to vote in their discretion on all matters on which the shares represented by such proxy are entitled to vote. If for any unforeseen reason, any of the Company's nominees is not available as a candidate for director, the persons named as proxy holders will vote your proxy for such other candidate(s) as may be nominated by the Board.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Who will count the vote?</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 inspector of election will be appointed to, among other things, tabulate all votes and certify the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 my vote confidential?</w:t>
      </w:r>
    </w:p>
    <w:p>
      <w:pPr>
        <w:spacing w:after="0" w:line="159" w:lineRule="exact"/>
        <w:rPr>
          <w:sz w:val="20"/>
          <w:szCs w:val="20"/>
          <w:color w:val="auto"/>
        </w:rPr>
      </w:pPr>
    </w:p>
    <w:p>
      <w:pPr>
        <w:ind w:right="140" w:firstLine="309"/>
        <w:spacing w:after="0" w:line="254" w:lineRule="auto"/>
        <w:rPr>
          <w:sz w:val="20"/>
          <w:szCs w:val="20"/>
          <w:color w:val="auto"/>
        </w:rPr>
      </w:pPr>
      <w:r>
        <w:rPr>
          <w:rFonts w:ascii="Times New Roman" w:cs="Times New Roman" w:eastAsia="Times New Roman" w:hAnsi="Times New Roman"/>
          <w:sz w:val="17"/>
          <w:szCs w:val="17"/>
          <w:color w:val="auto"/>
        </w:rPr>
        <w:t>Proxy instructions, ballots and voting tabulations that identify individual stockholders are handled in a manner that protects your voting privacy. Your vote will not be disclosed either within Surgery Partners or to third parties except (i) as necessary to meet applicable legal requirements, (ii) to allow for the tabulation of votes and certification of the vote and (iii) to facilitate a successful proxy solicitation by the Board. Additionally, we will forward to management any written comments you provide on a proxy card or through other means.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Who will bear the cost of soliciting proxies for the Annual Meeting?</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will pay the entire cost of soliciting proxies for the Annual Meeting, including costs for mailing the Notice of Internet Availability, mailing</w:t>
      </w:r>
    </w:p>
    <w:p>
      <w:pPr>
        <w:spacing w:after="0" w:line="2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printed proxy materials upon request, and the solicitation of proxies. We have retained Computershare, Inc. to assist us with the distribution of the proxies and will pay their expenses. We will also reimburse brokers or nominees for the expenses that they incur for forwarding the proxies.</w:t>
      </w: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47" w:lineRule="exact"/>
        <w:rPr>
          <w:sz w:val="20"/>
          <w:szCs w:val="20"/>
          <w:color w:val="auto"/>
        </w:rPr>
      </w:pPr>
    </w:p>
    <w:p>
      <w:pPr>
        <w:ind w:right="400" w:firstLine="309"/>
        <w:spacing w:after="0" w:line="271" w:lineRule="auto"/>
        <w:rPr>
          <w:sz w:val="20"/>
          <w:szCs w:val="20"/>
          <w:color w:val="auto"/>
        </w:rPr>
      </w:pPr>
      <w:r>
        <w:rPr>
          <w:rFonts w:ascii="Times New Roman" w:cs="Times New Roman" w:eastAsia="Times New Roman" w:hAnsi="Times New Roman"/>
          <w:sz w:val="17"/>
          <w:szCs w:val="17"/>
          <w:color w:val="auto"/>
        </w:rPr>
        <w:t>The following table sets forth information relating to the beneficial ownership of our common stock as of March 31, 2026 (except as otherwise indicated below), by:</w:t>
      </w:r>
    </w:p>
    <w:p>
      <w:pPr>
        <w:spacing w:after="0" w:line="113"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by us to beneficially own more than 5% of our outstanding shares of common stock;</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nominees; and</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executive officers and directors as a group.</w:t>
      </w:r>
    </w:p>
    <w:p>
      <w:pPr>
        <w:spacing w:after="0" w:line="230" w:lineRule="exact"/>
        <w:rPr>
          <w:sz w:val="20"/>
          <w:szCs w:val="20"/>
          <w:color w:val="auto"/>
        </w:rPr>
      </w:pPr>
    </w:p>
    <w:p>
      <w:pPr>
        <w:ind w:right="140" w:firstLine="309"/>
        <w:spacing w:after="0" w:line="250" w:lineRule="auto"/>
        <w:rPr>
          <w:sz w:val="20"/>
          <w:szCs w:val="20"/>
          <w:color w:val="auto"/>
        </w:rPr>
      </w:pPr>
      <w:r>
        <w:rPr>
          <w:rFonts w:ascii="Times New Roman" w:cs="Times New Roman" w:eastAsia="Times New Roman" w:hAnsi="Times New Roman"/>
          <w:sz w:val="17"/>
          <w:szCs w:val="17"/>
          <w:color w:val="auto"/>
        </w:rPr>
        <w:t>Information with respect to beneficial ownership in the following table is based on the Company's review of information furnished by or on behalf of each director, officer, or beneficial owner of more than 5% of our common stock and filed with the Securities and Exchange Commission (“SEC”). Beneficial ownership is determined in accordance with SEC rules. The information in the following table does not necessarily indicate beneficial ownership for any other purpose. In general, under SEC rules, a beneficial owner of a security includes any person who, directly or indirectly, through any contract, arrangement, understanding, relationship or otherwise has or shares voting power or investment power with respect to such security. A person is also deemed to be a beneficial owner of a security if that person has the right to acquire beneficial ownership of such security within 60 days.</w:t>
      </w:r>
    </w:p>
    <w:p>
      <w:pPr>
        <w:spacing w:after="0" w:line="196" w:lineRule="exact"/>
        <w:rPr>
          <w:sz w:val="20"/>
          <w:szCs w:val="20"/>
          <w:color w:val="auto"/>
        </w:rPr>
      </w:pPr>
    </w:p>
    <w:p>
      <w:pPr>
        <w:ind w:firstLine="309"/>
        <w:spacing w:after="0" w:line="250" w:lineRule="auto"/>
        <w:rPr>
          <w:sz w:val="20"/>
          <w:szCs w:val="20"/>
          <w:color w:val="auto"/>
        </w:rPr>
      </w:pPr>
      <w:r>
        <w:rPr>
          <w:rFonts w:ascii="Times New Roman" w:cs="Times New Roman" w:eastAsia="Times New Roman" w:hAnsi="Times New Roman"/>
          <w:sz w:val="17"/>
          <w:szCs w:val="17"/>
          <w:color w:val="auto"/>
        </w:rPr>
        <w:t>The percentage of shares of common stock beneficially owned is computed on the basis of 130,797,216 shares of common stock outstanding as of March 31, 2026. Shares of common stock that a person has the right to acquire within 60 days of March 31, 2026 are deemed outstanding for purposes of computing the percentage ownership of such person's holdings, but are not deemed outstanding for purposes of computing the percentage ownership of any other person, except with respect to the percentage ownership of all directors and executive officers as a group. Except as otherwise indicated below, and subject to applicable community property laws, we believe, based on information furnished by such persons, the persons named in the table have sole voting and investment power with respect to all shares of common stock held by that person.</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7"/>
                <w:szCs w:val="17"/>
                <w:color w:val="auto"/>
              </w:rPr>
            </w:pPr>
          </w:p>
        </w:tc>
        <w:tc>
          <w:tcPr>
            <w:tcW w:w="2920" w:type="dxa"/>
            <w:vAlign w:val="bottom"/>
          </w:tcPr>
          <w:p>
            <w:pPr>
              <w:jc w:val="center"/>
              <w:ind w:left="874"/>
              <w:spacing w:after="0"/>
              <w:rPr>
                <w:sz w:val="20"/>
                <w:szCs w:val="20"/>
                <w:color w:val="auto"/>
              </w:rPr>
            </w:pPr>
            <w:r>
              <w:rPr>
                <w:rFonts w:ascii="Times New Roman" w:cs="Times New Roman" w:eastAsia="Times New Roman" w:hAnsi="Times New Roman"/>
                <w:sz w:val="17"/>
                <w:szCs w:val="17"/>
                <w:b w:val="1"/>
                <w:bCs w:val="1"/>
                <w:color w:val="auto"/>
              </w:rPr>
              <w:t>Number of Shares of</w:t>
            </w:r>
          </w:p>
        </w:tc>
        <w:tc>
          <w:tcPr>
            <w:tcW w:w="20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Percentage of Common</w:t>
            </w:r>
          </w:p>
        </w:tc>
        <w:tc>
          <w:tcPr>
            <w:tcW w:w="0" w:type="dxa"/>
            <w:vAlign w:val="bottom"/>
          </w:tcPr>
          <w:p>
            <w:pPr>
              <w:spacing w:after="0"/>
              <w:rPr>
                <w:sz w:val="1"/>
                <w:szCs w:val="1"/>
                <w:color w:val="auto"/>
              </w:rPr>
            </w:pPr>
          </w:p>
        </w:tc>
      </w:tr>
      <w:tr>
        <w:trPr>
          <w:trHeight w:val="168"/>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 of Beneficial Owner</w:t>
            </w:r>
          </w:p>
        </w:tc>
        <w:tc>
          <w:tcPr>
            <w:tcW w:w="2920" w:type="dxa"/>
            <w:vAlign w:val="bottom"/>
          </w:tcPr>
          <w:p>
            <w:pPr>
              <w:jc w:val="center"/>
              <w:ind w:left="854"/>
              <w:spacing w:after="0" w:line="167" w:lineRule="exact"/>
              <w:rPr>
                <w:sz w:val="20"/>
                <w:szCs w:val="20"/>
                <w:color w:val="auto"/>
              </w:rPr>
            </w:pPr>
            <w:r>
              <w:rPr>
                <w:rFonts w:ascii="Times New Roman" w:cs="Times New Roman" w:eastAsia="Times New Roman" w:hAnsi="Times New Roman"/>
                <w:sz w:val="17"/>
                <w:szCs w:val="17"/>
                <w:b w:val="1"/>
                <w:bCs w:val="1"/>
                <w:color w:val="auto"/>
              </w:rPr>
              <w:t>Common Stock</w:t>
            </w:r>
          </w:p>
        </w:tc>
        <w:tc>
          <w:tcPr>
            <w:tcW w:w="2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280" w:type="dxa"/>
            <w:vAlign w:val="bottom"/>
            <w:tcBorders>
              <w:bottom w:val="single" w:sz="8" w:color="auto"/>
            </w:tcBorders>
            <w:vMerge w:val="continue"/>
          </w:tcPr>
          <w:p>
            <w:pPr>
              <w:spacing w:after="0"/>
              <w:rPr>
                <w:sz w:val="20"/>
                <w:szCs w:val="20"/>
                <w:color w:val="auto"/>
              </w:rPr>
            </w:pPr>
          </w:p>
        </w:tc>
        <w:tc>
          <w:tcPr>
            <w:tcW w:w="2920" w:type="dxa"/>
            <w:vAlign w:val="bottom"/>
            <w:tcBorders>
              <w:bottom w:val="single" w:sz="8" w:color="auto"/>
            </w:tcBorders>
          </w:tcPr>
          <w:p>
            <w:pPr>
              <w:jc w:val="center"/>
              <w:ind w:left="854"/>
              <w:spacing w:after="0"/>
              <w:rPr>
                <w:sz w:val="20"/>
                <w:szCs w:val="20"/>
                <w:color w:val="auto"/>
              </w:rPr>
            </w:pPr>
            <w:r>
              <w:rPr>
                <w:rFonts w:ascii="Times New Roman" w:cs="Times New Roman" w:eastAsia="Times New Roman" w:hAnsi="Times New Roman"/>
                <w:sz w:val="17"/>
                <w:szCs w:val="17"/>
                <w:b w:val="1"/>
                <w:bCs w:val="1"/>
                <w:color w:val="auto"/>
              </w:rPr>
              <w:t>Beneficially Owned</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Stock Beneficially Owned</w:t>
            </w:r>
          </w:p>
        </w:tc>
        <w:tc>
          <w:tcPr>
            <w:tcW w:w="0" w:type="dxa"/>
            <w:vAlign w:val="bottom"/>
          </w:tcPr>
          <w:p>
            <w:pPr>
              <w:spacing w:after="0"/>
              <w:rPr>
                <w:sz w:val="1"/>
                <w:szCs w:val="1"/>
                <w:color w:val="auto"/>
              </w:rPr>
            </w:pPr>
          </w:p>
        </w:tc>
      </w:tr>
      <w:tr>
        <w:trPr>
          <w:trHeight w:val="225"/>
        </w:trPr>
        <w:tc>
          <w:tcPr>
            <w:tcW w:w="628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Beneficial owners of 5% or more of our common stock:</w:t>
            </w:r>
          </w:p>
        </w:tc>
        <w:tc>
          <w:tcPr>
            <w:tcW w:w="29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Bain Capital Investors, LLC </w:t>
            </w:r>
            <w:r>
              <w:rPr>
                <w:rFonts w:ascii="Times New Roman" w:cs="Times New Roman" w:eastAsia="Times New Roman" w:hAnsi="Times New Roman"/>
                <w:sz w:val="22"/>
                <w:szCs w:val="22"/>
                <w:color w:val="auto"/>
                <w:vertAlign w:val="superscript"/>
              </w:rPr>
              <w:t>(1)</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49,946,972</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38.2 %</w:t>
            </w:r>
          </w:p>
        </w:tc>
        <w:tc>
          <w:tcPr>
            <w:tcW w:w="0" w:type="dxa"/>
            <w:vAlign w:val="bottom"/>
          </w:tcPr>
          <w:p>
            <w:pPr>
              <w:spacing w:after="0"/>
              <w:rPr>
                <w:sz w:val="1"/>
                <w:szCs w:val="1"/>
                <w:color w:val="auto"/>
              </w:rPr>
            </w:pPr>
          </w:p>
        </w:tc>
      </w:tr>
      <w:tr>
        <w:trPr>
          <w:trHeight w:val="219"/>
        </w:trPr>
        <w:tc>
          <w:tcPr>
            <w:tcW w:w="628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Janus Henderson Group PLC </w:t>
            </w:r>
            <w:r>
              <w:rPr>
                <w:rFonts w:ascii="Times New Roman" w:cs="Times New Roman" w:eastAsia="Times New Roman" w:hAnsi="Times New Roman"/>
                <w:sz w:val="22"/>
                <w:szCs w:val="22"/>
                <w:color w:val="auto"/>
                <w:vertAlign w:val="superscript"/>
              </w:rPr>
              <w:t>(2)</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13,036,583</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Pentwater Capital Management LP </w:t>
            </w:r>
            <w:r>
              <w:rPr>
                <w:rFonts w:ascii="Times New Roman" w:cs="Times New Roman" w:eastAsia="Times New Roman" w:hAnsi="Times New Roman"/>
                <w:sz w:val="22"/>
                <w:szCs w:val="22"/>
                <w:color w:val="auto"/>
                <w:vertAlign w:val="superscript"/>
              </w:rPr>
              <w:t>(3)</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0" w:type="dxa"/>
            <w:vAlign w:val="bottom"/>
          </w:tcPr>
          <w:p>
            <w:pPr>
              <w:spacing w:after="0"/>
              <w:rPr>
                <w:sz w:val="1"/>
                <w:szCs w:val="1"/>
                <w:color w:val="auto"/>
              </w:rPr>
            </w:pPr>
          </w:p>
        </w:tc>
      </w:tr>
      <w:tr>
        <w:trPr>
          <w:trHeight w:val="219"/>
        </w:trPr>
        <w:tc>
          <w:tcPr>
            <w:tcW w:w="628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King Street Capital Management, L.P. </w:t>
            </w:r>
            <w:r>
              <w:rPr>
                <w:rFonts w:ascii="Times New Roman" w:cs="Times New Roman" w:eastAsia="Times New Roman" w:hAnsi="Times New Roman"/>
                <w:sz w:val="22"/>
                <w:szCs w:val="22"/>
                <w:color w:val="auto"/>
                <w:vertAlign w:val="superscript"/>
              </w:rPr>
              <w:t>(4)</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9,339,930</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The Vanguard Group </w:t>
            </w:r>
            <w:r>
              <w:rPr>
                <w:rFonts w:ascii="Times New Roman" w:cs="Times New Roman" w:eastAsia="Times New Roman" w:hAnsi="Times New Roman"/>
                <w:sz w:val="22"/>
                <w:szCs w:val="22"/>
                <w:color w:val="auto"/>
                <w:vertAlign w:val="superscript"/>
              </w:rPr>
              <w:t>(5)</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7,417,609</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0" w:type="dxa"/>
            <w:vAlign w:val="bottom"/>
          </w:tcPr>
          <w:p>
            <w:pPr>
              <w:spacing w:after="0"/>
              <w:rPr>
                <w:sz w:val="1"/>
                <w:szCs w:val="1"/>
                <w:color w:val="auto"/>
              </w:rPr>
            </w:pPr>
          </w:p>
        </w:tc>
      </w:tr>
      <w:tr>
        <w:trPr>
          <w:trHeight w:val="219"/>
        </w:trPr>
        <w:tc>
          <w:tcPr>
            <w:tcW w:w="628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FMR LLC </w:t>
            </w:r>
            <w:r>
              <w:rPr>
                <w:rFonts w:ascii="Times New Roman" w:cs="Times New Roman" w:eastAsia="Times New Roman" w:hAnsi="Times New Roman"/>
                <w:sz w:val="22"/>
                <w:szCs w:val="22"/>
                <w:color w:val="auto"/>
                <w:vertAlign w:val="superscript"/>
              </w:rPr>
              <w:t>(6)</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6,537,016</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Directors and Named Executive Officers:</w:t>
            </w:r>
          </w:p>
        </w:tc>
        <w:tc>
          <w:tcPr>
            <w:tcW w:w="29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8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J. Eric Evans </w:t>
            </w:r>
            <w:r>
              <w:rPr>
                <w:rFonts w:ascii="Times New Roman" w:cs="Times New Roman" w:eastAsia="Times New Roman" w:hAnsi="Times New Roman"/>
                <w:sz w:val="22"/>
                <w:szCs w:val="22"/>
                <w:color w:val="auto"/>
                <w:vertAlign w:val="superscript"/>
              </w:rPr>
              <w:t>(7)</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1,403,886</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Jennifer B. Baldock </w:t>
            </w:r>
            <w:r>
              <w:rPr>
                <w:rFonts w:ascii="Times New Roman" w:cs="Times New Roman" w:eastAsia="Times New Roman" w:hAnsi="Times New Roman"/>
                <w:sz w:val="22"/>
                <w:szCs w:val="22"/>
                <w:color w:val="auto"/>
                <w:vertAlign w:val="superscript"/>
              </w:rPr>
              <w:t>(8)</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525,974</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David T. Doherty</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221,679</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Harrison R. Bane </w:t>
            </w:r>
            <w:r>
              <w:rPr>
                <w:rFonts w:ascii="Times New Roman" w:cs="Times New Roman" w:eastAsia="Times New Roman" w:hAnsi="Times New Roman"/>
                <w:sz w:val="22"/>
                <w:szCs w:val="22"/>
                <w:color w:val="auto"/>
                <w:vertAlign w:val="superscript"/>
              </w:rPr>
              <w:t>(9)</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117,181</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 Trent Webb</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128,878</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Marissa A. Brittenham</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94,196</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Brent Turner</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74,924</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Teresa DeLuca, M.D.</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45,173</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Clifford G. Adlerz</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57,434</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John A. Deane</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34,252</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Laura L. Forese, M.D.</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6,861</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Blair E. Hendrix</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6,861</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Lloyd Dean</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Andrew T. Kaplan </w:t>
            </w:r>
            <w:r>
              <w:rPr>
                <w:rFonts w:ascii="Times New Roman" w:cs="Times New Roman" w:eastAsia="Times New Roman" w:hAnsi="Times New Roman"/>
                <w:sz w:val="22"/>
                <w:szCs w:val="22"/>
                <w:color w:val="auto"/>
                <w:vertAlign w:val="superscript"/>
              </w:rPr>
              <w:t>(10)</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Devin O'Reilly </w:t>
            </w:r>
            <w:r>
              <w:rPr>
                <w:rFonts w:ascii="Times New Roman" w:cs="Times New Roman" w:eastAsia="Times New Roman" w:hAnsi="Times New Roman"/>
                <w:sz w:val="22"/>
                <w:szCs w:val="22"/>
                <w:color w:val="auto"/>
                <w:vertAlign w:val="superscript"/>
              </w:rPr>
              <w:t>(10)</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b w:val="1"/>
                <w:bCs w:val="1"/>
                <w:color w:val="auto"/>
              </w:rPr>
              <w:t xml:space="preserve">All current executive officers and directors as a group (15 persons) </w:t>
            </w:r>
            <w:r>
              <w:rPr>
                <w:rFonts w:ascii="Times New Roman" w:cs="Times New Roman" w:eastAsia="Times New Roman" w:hAnsi="Times New Roman"/>
                <w:sz w:val="22"/>
                <w:szCs w:val="22"/>
                <w:b w:val="1"/>
                <w:bCs w:val="1"/>
                <w:color w:val="auto"/>
                <w:vertAlign w:val="superscript"/>
              </w:rPr>
              <w:t>(11)</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2,668,363</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Less than one percent.</w:t>
      </w:r>
    </w:p>
    <w:p>
      <w:pPr>
        <w:spacing w:after="0" w:line="165" w:lineRule="exact"/>
        <w:rPr>
          <w:sz w:val="20"/>
          <w:szCs w:val="20"/>
          <w:color w:val="auto"/>
        </w:rPr>
      </w:pPr>
    </w:p>
    <w:p>
      <w:pPr>
        <w:ind w:left="320" w:right="100" w:hanging="317"/>
        <w:spacing w:after="0" w:line="246"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Bain Capital Investors, LLC ("BCI") is the sole member of (i) BCPE Seminole GP LLC, a Delaware limited liability company ("BCPE GP"), which is the general partner of each of BCPE Seminole Holdings LP, a Delaware limited partnership (“BCPE Seminole”), and BCPE Seminole Holdings IV, L.P., a Cayman Islands exempted limited partnership (“BCPE Seminole IV”), (ii) BCPE Seminole GP II LLC, a Delaware limited liability company (“BCPE Seminole GP II”), which is the general partner of BCPE Seminole Holdings II Intermediate LP, a Delaware limited partnership (“BCPE Seminole II”), and (iii) BCPE Seminole GP III LLC, a Delaware limited liability company (“BCPE Seminole GP III”), which is the general partner of BCPE Seminole Holdings III, L.P., a Cayman Island exempted limited partnership (“BCPE Seminole III”). Each of BCPE Seminole, BCPE Seminole II, BCPE Seminole III and BCPE Seminole IV has shared voting and dispositive power over 10,708,102 shares of common stock, 30,055,197 shares of common stock, 4,232,353 shares of common stock and 4,951,320 shares of common stock, respectively. By virtue of the relationships described in this footnote, BCI may be deemed to share voting and dispositive power with respect to the securities held by BCPE Seminole, BCPE Seminole II, BCPE Seminole III and BCPE Seminole IV. Information reported in this table and the notes hereto in respect of BCI is based solely on Amendment No. 9 to Schedule 13D filed with the SEC on January 28, 2025 by BCI. The principal business address of each of BCI, BCPE Seminole, BCPE Seminole II, BCPE Seminole III and BCPE Seminole IV is 200 Clarendon Street, Boston, MA 02116.</w:t>
      </w:r>
    </w:p>
    <w:p>
      <w:pPr>
        <w:spacing w:after="0" w:line="19" w:lineRule="exact"/>
        <w:rPr>
          <w:rFonts w:ascii="Times New Roman" w:cs="Times New Roman" w:eastAsia="Times New Roman" w:hAnsi="Times New Roman"/>
          <w:sz w:val="17"/>
          <w:szCs w:val="17"/>
          <w:color w:val="auto"/>
        </w:rPr>
      </w:pPr>
    </w:p>
    <w:p>
      <w:pPr>
        <w:ind w:left="320" w:hanging="317"/>
        <w:spacing w:after="0" w:line="254"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Janus Henderson Group PLC (“Janus Henderson”) has shared voting power over 13,036,583 shares of common stock and dispositive power over 13,036,583 shares of common stock. JHIUS, an indirect subsidiary of Janus Henderson, may be deemed to be the beneficial owner of 13,005,961 shares of common stock. Information reported in this table and the notes hereto in respect of Janus Henderson is based solely on the Schedule 13G/A filed with the SEC on November 14, 2025 by Janus Henderson. The principal business address of Janus Henderson is 201 Bishopsgate EC2M 3AE, United Kingdom.</w:t>
      </w:r>
    </w:p>
    <w:p>
      <w:pPr>
        <w:spacing w:after="0" w:line="23" w:lineRule="exact"/>
        <w:rPr>
          <w:rFonts w:ascii="Times New Roman" w:cs="Times New Roman" w:eastAsia="Times New Roman" w:hAnsi="Times New Roman"/>
          <w:sz w:val="17"/>
          <w:szCs w:val="17"/>
          <w:color w:val="auto"/>
        </w:rPr>
      </w:pPr>
    </w:p>
    <w:p>
      <w:pPr>
        <w:ind w:left="320" w:right="340" w:hanging="317"/>
        <w:spacing w:after="0" w:line="254"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Pentwater Capital Management LP (“Pentwater”) has shared voting power over 10,000,000 shares of common stock and sole dispositive power over 10,000,000 shares of common stock. Information reported in this table and the notes hereto in respect of Pentwater is based solely on the Schedule 13G/A filed with the SEC on February 17, 2026 by Pentwater, Pentwater Funds,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left="320" w:right="280"/>
        <w:spacing w:after="0" w:line="271" w:lineRule="auto"/>
        <w:rPr>
          <w:sz w:val="20"/>
          <w:szCs w:val="20"/>
          <w:color w:val="auto"/>
        </w:rPr>
      </w:pPr>
      <w:r>
        <w:rPr>
          <w:rFonts w:ascii="Times New Roman" w:cs="Times New Roman" w:eastAsia="Times New Roman" w:hAnsi="Times New Roman"/>
          <w:sz w:val="17"/>
          <w:szCs w:val="17"/>
          <w:color w:val="auto"/>
        </w:rPr>
        <w:t>investment adviser to certain funds, and Mr. Matthew Halbower, the sole shareholder of MCH PWCM Holdings Inc., the general partner of Pentwater. The principal business address of Pentwater is 1001 10th Avenue South, Suite 216, Naples, FL 34102.</w:t>
      </w:r>
    </w:p>
    <w:p>
      <w:pPr>
        <w:spacing w:after="0" w:line="10" w:lineRule="exact"/>
        <w:rPr>
          <w:sz w:val="20"/>
          <w:szCs w:val="20"/>
          <w:color w:val="auto"/>
        </w:rPr>
      </w:pPr>
    </w:p>
    <w:p>
      <w:pPr>
        <w:ind w:left="320" w:right="220" w:hanging="317"/>
        <w:spacing w:after="0" w:line="254" w:lineRule="auto"/>
        <w:tabs>
          <w:tab w:leader="none" w:pos="31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King Street Capital Management, L.P. (“King Street”) has shared voting power over 9,339,930 shares of common stock and shared dispositive power over 9,339,930 shares of common stock. Information reported in this table and the notes hereto in respect of King Street is based solely on the Schedule 13G/A filed with the SEC on November 14, 2025 jointly by King Street, King Street Capital Management GP, L.L.C., and Brian J. Higgins. The principal business address of King Street is 299 Park Avenue, 40th Floor New York, NY 10171.</w:t>
      </w:r>
    </w:p>
    <w:p>
      <w:pPr>
        <w:spacing w:after="0" w:line="10" w:lineRule="exact"/>
        <w:rPr>
          <w:rFonts w:ascii="Times New Roman" w:cs="Times New Roman" w:eastAsia="Times New Roman" w:hAnsi="Times New Roman"/>
          <w:sz w:val="17"/>
          <w:szCs w:val="17"/>
          <w:color w:val="auto"/>
        </w:rPr>
      </w:pPr>
    </w:p>
    <w:p>
      <w:pPr>
        <w:ind w:left="320" w:right="60" w:hanging="317"/>
        <w:spacing w:after="0" w:line="248" w:lineRule="auto"/>
        <w:tabs>
          <w:tab w:leader="none" w:pos="31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Vanguard Group ("Vanguard") has shared voting power over 129,823 shares of common stock, shared dispositive power over 206,275 shares of common stock and sole dispositive power over 7,211,334 shares of common stock. Information reported in this table and the notes hereto in respect of Vanguard is based solely on the Schedule 13G/A filed with the SEC on February 13, 2024 by Vanguard. Vanguard subsequently reported that due to an internal realignment it no longer has, or is deemed to have, beneficial ownership over common stock that is beneficially owned by various Vanguard subsidiaries and/or business divisions. Vanguard also reported that certain subsidiaries or business divisions that formerly had, or were deemed to have, beneficial ownership with Vanguard, will report beneficial ownership separately (on a disaggregated basis). The principal business address of Vanguard is 100 Vanguard Blvd., Malvern, PA 19355.</w:t>
      </w:r>
    </w:p>
    <w:p>
      <w:pPr>
        <w:spacing w:after="0" w:line="17" w:lineRule="exact"/>
        <w:rPr>
          <w:rFonts w:ascii="Times New Roman" w:cs="Times New Roman" w:eastAsia="Times New Roman" w:hAnsi="Times New Roman"/>
          <w:sz w:val="17"/>
          <w:szCs w:val="17"/>
          <w:color w:val="auto"/>
        </w:rPr>
      </w:pPr>
    </w:p>
    <w:p>
      <w:pPr>
        <w:ind w:left="320" w:right="260" w:hanging="317"/>
        <w:spacing w:after="0" w:line="262" w:lineRule="auto"/>
        <w:tabs>
          <w:tab w:leader="none" w:pos="31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FMR LLC ("FMR") has sole voting power over 6,536,092 shares of common stock and sole dispositive power over 6,537,016 shares of common stock. Information reported in this table and the notes hereto in respect of FMR is based solely on the Schedule 13G/A filed with the SEC on February 5, 2026 by FMR. The principal business address of FMR is 245 Summer Street, Boston, MA 02210.</w:t>
      </w:r>
    </w:p>
    <w:p>
      <w:pPr>
        <w:spacing w:after="0" w:line="4"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Evans' beneficially owned shares include 483,500 shares of common stock underlying stock options exercisable within 60 days of March 31, 2026.</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Baldock's beneficially owned shares include 199,500 shares of common stock underlying stock options exercisable within 60 days of March 31, 2026.</w:t>
      </w:r>
    </w:p>
    <w:p>
      <w:pPr>
        <w:spacing w:after="0" w:line="4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Bane resigned as our President, National Group effective October 3, 2025.</w:t>
      </w:r>
    </w:p>
    <w:p>
      <w:pPr>
        <w:spacing w:after="0" w:line="49" w:lineRule="exact"/>
        <w:rPr>
          <w:rFonts w:ascii="Times New Roman" w:cs="Times New Roman" w:eastAsia="Times New Roman" w:hAnsi="Times New Roman"/>
          <w:sz w:val="17"/>
          <w:szCs w:val="17"/>
          <w:color w:val="auto"/>
        </w:rPr>
      </w:pPr>
    </w:p>
    <w:p>
      <w:pPr>
        <w:ind w:left="320" w:hanging="317"/>
        <w:spacing w:after="0" w:line="262" w:lineRule="auto"/>
        <w:tabs>
          <w:tab w:leader="none" w:pos="31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beneficially owned by each of Messrs. O'Reilly and Kaplan do not include shares held by BCI. Mr. O'Reilly and Mr. Kaplan are both a Partner of BCI and as a result, by virtue of the relationships described in footnote (1) above, may be deemed to share beneficial ownership of the shares of common stock held by BCI.</w:t>
      </w:r>
    </w:p>
    <w:p>
      <w:pPr>
        <w:spacing w:after="0" w:line="4"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683,000 shares of common stock underlying stock options exercisable within 60 days of March 31,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69" w:lineRule="exact"/>
        <w:rPr>
          <w:sz w:val="20"/>
          <w:szCs w:val="20"/>
          <w:color w:val="auto"/>
        </w:rPr>
      </w:pPr>
    </w:p>
    <w:p>
      <w:pPr>
        <w:ind w:right="40" w:firstLine="309"/>
        <w:spacing w:after="0" w:line="245" w:lineRule="auto"/>
        <w:rPr>
          <w:sz w:val="20"/>
          <w:szCs w:val="20"/>
          <w:color w:val="auto"/>
        </w:rPr>
      </w:pPr>
      <w:r>
        <w:rPr>
          <w:rFonts w:ascii="Times New Roman" w:cs="Times New Roman" w:eastAsia="Times New Roman" w:hAnsi="Times New Roman"/>
          <w:sz w:val="17"/>
          <w:szCs w:val="17"/>
          <w:color w:val="auto"/>
        </w:rPr>
        <w:t>Section 16(a) of the Securities Exchange Act of 1934, as amended (the "Exchange Act"), requires our executive officers and directors and persons who own more than 10% of a registered class of our equity securities to file initial reports of ownership and reports of changes in ownership with the SEC. Such persons are required by regulation of the SEC to furnish us with copies of all Section 16(a) forms they file. Based solely on our review of the copies of such forms or written representations from certain reporting persons received by us with respect to fiscal year 2025, we believe that our executive officers and directors and persons who own more than 10% of a registered class of our equity securities have complied with all applicable filing requirements with respect to fiscal year 2025, except for</w:t>
      </w:r>
    </w:p>
    <w:p>
      <w:pPr>
        <w:ind w:right="140" w:firstLine="3"/>
        <w:spacing w:after="0" w:line="251" w:lineRule="auto"/>
        <w:tabs>
          <w:tab w:leader="none" w:pos="20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common stock by Dr. DeLuca on August 11, 2025 that was inadvertently reported late on a Form 4 report filed on August 15, 2025, (ii) the sale of common stock by Ms. Brittenham, Mr. Doherty, Mr. Webb, Ms. Burkhalter, Ms. Baldock, and Mr. Bane on March 10, 2025 to satisfy tax withholding obligations in connection with the vesting of performance stock units ("PSUs") that were inadvertently reported late on a Form 4 report filed on March 13, 2025.</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 ELECTION OF DIRECTORS</w:t>
      </w:r>
    </w:p>
    <w:p>
      <w:pPr>
        <w:spacing w:after="0" w:line="221" w:lineRule="exact"/>
        <w:rPr>
          <w:sz w:val="20"/>
          <w:szCs w:val="20"/>
          <w:color w:val="auto"/>
        </w:rPr>
      </w:pPr>
    </w:p>
    <w:p>
      <w:pPr>
        <w:ind w:right="140" w:firstLine="309"/>
        <w:spacing w:after="0" w:line="262" w:lineRule="auto"/>
        <w:rPr>
          <w:sz w:val="20"/>
          <w:szCs w:val="20"/>
          <w:color w:val="auto"/>
        </w:rPr>
      </w:pPr>
      <w:r>
        <w:rPr>
          <w:rFonts w:ascii="Times New Roman" w:cs="Times New Roman" w:eastAsia="Times New Roman" w:hAnsi="Times New Roman"/>
          <w:sz w:val="17"/>
          <w:szCs w:val="17"/>
          <w:color w:val="auto"/>
        </w:rPr>
        <w:t>In accordance with the Company's Amended and Restated Certificate of Incorporation (the "charter") and Amended and Restated Bylaws (the "bylaws"), the Board is divided into three classes of approximately equal size. The members of each class are elected to serve a three-year term with the term of office of each class ending in successive years. Devin O’Reilly, Brent Turner and Laura L. Forese, M.D. are Class II directors whose terms expire at the Annual Meeting.</w:t>
      </w:r>
    </w:p>
    <w:p>
      <w:pPr>
        <w:spacing w:after="0" w:line="185" w:lineRule="exact"/>
        <w:rPr>
          <w:sz w:val="20"/>
          <w:szCs w:val="20"/>
          <w:color w:val="auto"/>
        </w:rPr>
      </w:pPr>
    </w:p>
    <w:p>
      <w:pPr>
        <w:ind w:right="20" w:firstLine="309"/>
        <w:spacing w:after="0" w:line="250" w:lineRule="auto"/>
        <w:rPr>
          <w:sz w:val="20"/>
          <w:szCs w:val="20"/>
          <w:color w:val="auto"/>
        </w:rPr>
      </w:pPr>
      <w:r>
        <w:rPr>
          <w:rFonts w:ascii="Times New Roman" w:cs="Times New Roman" w:eastAsia="Times New Roman" w:hAnsi="Times New Roman"/>
          <w:sz w:val="17"/>
          <w:szCs w:val="17"/>
          <w:color w:val="auto"/>
        </w:rPr>
        <w:t>Dr. Forese and Messrs. O'Reilly and Turner have been nominated for and have agreed to stand for re-election as Class II directors. The Class II directors will serve a term of three years and until his or her successor is duly elected and qualified or until his or her death, resignation or removal, whichever is earliest to occur. The three nominees for director with the highest number of affirmative votes will be elected as Class II directors. Except with respect to broker non-votes, unless you otherwise instruct, proxies will be voted for election of the nominees listed above as director nominees. The Company has no reason to believe that any nominee will be unable to serve, but in the event that a nominee is unwilling or unable to serve as a director and the Board does not, in that event, choose to reduce the size of the Board, the persons voting the proxy may vote for the election of another person in accordance with their judgment.</w:t>
      </w:r>
    </w:p>
    <w:p>
      <w:pPr>
        <w:spacing w:after="0" w:line="115" w:lineRule="exact"/>
        <w:rPr>
          <w:sz w:val="20"/>
          <w:szCs w:val="20"/>
          <w:color w:val="auto"/>
        </w:rPr>
      </w:pPr>
    </w:p>
    <w:p>
      <w:pPr>
        <w:jc w:val="center"/>
        <w:ind w:left="640" w:right="200"/>
        <w:spacing w:after="0" w:line="292" w:lineRule="auto"/>
        <w:rPr>
          <w:sz w:val="20"/>
          <w:szCs w:val="20"/>
          <w:color w:val="auto"/>
        </w:rPr>
      </w:pPr>
      <w:r>
        <w:rPr>
          <w:rFonts w:ascii="Times New Roman" w:cs="Times New Roman" w:eastAsia="Times New Roman" w:hAnsi="Times New Roman"/>
          <w:sz w:val="17"/>
          <w:szCs w:val="17"/>
          <w:b w:val="1"/>
          <w:bCs w:val="1"/>
          <w:color w:val="auto"/>
        </w:rPr>
        <w:t>THE BOARD UNANIMOUSLY RECOMMENDS THAT YOU VOTE "FOR" EACH OF THE ABOVE-NAMED NOMINEES FOR CLASS II DIRECTORS.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name, age (as of March 31, 2026) and position of individuals who currently serve as a director of the Company.</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480" w:type="dxa"/>
            <w:vAlign w:val="bottom"/>
          </w:tcPr>
          <w:p>
            <w:pPr>
              <w:ind w:left="1740"/>
              <w:spacing w:after="0"/>
              <w:rPr>
                <w:sz w:val="20"/>
                <w:szCs w:val="20"/>
                <w:color w:val="auto"/>
              </w:rPr>
            </w:pPr>
            <w:r>
              <w:rPr>
                <w:rFonts w:ascii="Times New Roman" w:cs="Times New Roman" w:eastAsia="Times New Roman" w:hAnsi="Times New Roman"/>
                <w:sz w:val="17"/>
                <w:szCs w:val="17"/>
                <w:b w:val="1"/>
                <w:bCs w:val="1"/>
                <w:color w:val="auto"/>
              </w:rPr>
              <w:t>Age</w:t>
            </w:r>
          </w:p>
        </w:tc>
        <w:tc>
          <w:tcPr>
            <w:tcW w:w="542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38"/>
        </w:trPr>
        <w:tc>
          <w:tcPr>
            <w:tcW w:w="334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5420" w:type="dxa"/>
            <w:vAlign w:val="bottom"/>
            <w:tcBorders>
              <w:bottom w:val="single" w:sz="8" w:color="auto"/>
            </w:tcBorders>
          </w:tcPr>
          <w:p>
            <w:pPr>
              <w:spacing w:after="0"/>
              <w:rPr>
                <w:sz w:val="3"/>
                <w:szCs w:val="3"/>
                <w:color w:val="auto"/>
              </w:rPr>
            </w:pPr>
          </w:p>
        </w:tc>
      </w:tr>
      <w:tr>
        <w:trPr>
          <w:trHeight w:val="289"/>
        </w:trPr>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John A. Deane</w:t>
            </w:r>
          </w:p>
        </w:tc>
        <w:tc>
          <w:tcPr>
            <w:tcW w:w="24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7"/>
                <w:szCs w:val="17"/>
                <w:color w:val="auto"/>
              </w:rPr>
              <w:t>64</w:t>
            </w:r>
          </w:p>
        </w:tc>
        <w:tc>
          <w:tcPr>
            <w:tcW w:w="5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Class I Director</w:t>
            </w:r>
          </w:p>
        </w:tc>
      </w:tr>
      <w:tr>
        <w:trPr>
          <w:trHeight w:val="258"/>
        </w:trPr>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Teresa DeLuca, M.D.</w:t>
            </w:r>
          </w:p>
        </w:tc>
        <w:tc>
          <w:tcPr>
            <w:tcW w:w="248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60</w:t>
            </w:r>
          </w:p>
        </w:tc>
        <w:tc>
          <w:tcPr>
            <w:tcW w:w="54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Class I Director</w:t>
            </w:r>
          </w:p>
        </w:tc>
      </w:tr>
      <w:tr>
        <w:trPr>
          <w:trHeight w:val="258"/>
        </w:trPr>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Lloyd Dean</w:t>
            </w:r>
          </w:p>
        </w:tc>
        <w:tc>
          <w:tcPr>
            <w:tcW w:w="24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7"/>
                <w:szCs w:val="17"/>
                <w:color w:val="auto"/>
              </w:rPr>
              <w:t>75</w:t>
            </w:r>
          </w:p>
        </w:tc>
        <w:tc>
          <w:tcPr>
            <w:tcW w:w="5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Class I Director</w:t>
            </w:r>
          </w:p>
        </w:tc>
      </w:tr>
      <w:tr>
        <w:trPr>
          <w:trHeight w:val="258"/>
        </w:trPr>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Devin O'Reilly</w:t>
            </w:r>
          </w:p>
        </w:tc>
        <w:tc>
          <w:tcPr>
            <w:tcW w:w="248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51</w:t>
            </w:r>
          </w:p>
        </w:tc>
        <w:tc>
          <w:tcPr>
            <w:tcW w:w="54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Class II Director</w:t>
            </w:r>
          </w:p>
        </w:tc>
      </w:tr>
      <w:tr>
        <w:trPr>
          <w:trHeight w:val="258"/>
        </w:trPr>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Brent Turner</w:t>
            </w:r>
          </w:p>
        </w:tc>
        <w:tc>
          <w:tcPr>
            <w:tcW w:w="24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7"/>
                <w:szCs w:val="17"/>
                <w:color w:val="auto"/>
              </w:rPr>
              <w:t>60</w:t>
            </w:r>
          </w:p>
        </w:tc>
        <w:tc>
          <w:tcPr>
            <w:tcW w:w="5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Class II Director</w:t>
            </w:r>
          </w:p>
        </w:tc>
      </w:tr>
      <w:tr>
        <w:trPr>
          <w:trHeight w:val="258"/>
        </w:trPr>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Laura L. Forese, M.D.</w:t>
            </w:r>
          </w:p>
        </w:tc>
        <w:tc>
          <w:tcPr>
            <w:tcW w:w="248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64</w:t>
            </w:r>
          </w:p>
        </w:tc>
        <w:tc>
          <w:tcPr>
            <w:tcW w:w="54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Class II Director</w:t>
            </w:r>
          </w:p>
        </w:tc>
      </w:tr>
      <w:tr>
        <w:trPr>
          <w:trHeight w:val="258"/>
        </w:trPr>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Clifford G. Adlerz</w:t>
            </w:r>
          </w:p>
        </w:tc>
        <w:tc>
          <w:tcPr>
            <w:tcW w:w="24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7"/>
                <w:szCs w:val="17"/>
                <w:color w:val="auto"/>
              </w:rPr>
              <w:t>72</w:t>
            </w:r>
          </w:p>
        </w:tc>
        <w:tc>
          <w:tcPr>
            <w:tcW w:w="5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Class III Director</w:t>
            </w:r>
          </w:p>
        </w:tc>
      </w:tr>
      <w:tr>
        <w:trPr>
          <w:trHeight w:val="258"/>
        </w:trPr>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 Eric Evans</w:t>
            </w:r>
          </w:p>
        </w:tc>
        <w:tc>
          <w:tcPr>
            <w:tcW w:w="248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48</w:t>
            </w:r>
          </w:p>
        </w:tc>
        <w:tc>
          <w:tcPr>
            <w:tcW w:w="54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Class III Director</w:t>
            </w:r>
          </w:p>
        </w:tc>
      </w:tr>
      <w:tr>
        <w:trPr>
          <w:trHeight w:val="258"/>
        </w:trPr>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Blair E. Hendrix</w:t>
            </w:r>
          </w:p>
        </w:tc>
        <w:tc>
          <w:tcPr>
            <w:tcW w:w="24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7"/>
                <w:szCs w:val="17"/>
                <w:color w:val="auto"/>
              </w:rPr>
              <w:t>61</w:t>
            </w:r>
          </w:p>
        </w:tc>
        <w:tc>
          <w:tcPr>
            <w:tcW w:w="5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Class III Director, Chairman</w:t>
            </w:r>
          </w:p>
        </w:tc>
      </w:tr>
      <w:tr>
        <w:trPr>
          <w:trHeight w:val="258"/>
        </w:trPr>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Andrew T. Kaplan</w:t>
            </w:r>
          </w:p>
        </w:tc>
        <w:tc>
          <w:tcPr>
            <w:tcW w:w="248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41</w:t>
            </w:r>
          </w:p>
        </w:tc>
        <w:tc>
          <w:tcPr>
            <w:tcW w:w="54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Class III Director</w:t>
            </w:r>
          </w:p>
        </w:tc>
      </w:tr>
    </w:tbl>
    <w:p>
      <w:pPr>
        <w:spacing w:after="0" w:line="228" w:lineRule="exact"/>
        <w:rPr>
          <w:sz w:val="20"/>
          <w:szCs w:val="20"/>
          <w:color w:val="auto"/>
        </w:rPr>
      </w:pPr>
    </w:p>
    <w:p>
      <w:pPr>
        <w:ind w:right="280" w:firstLine="309"/>
        <w:spacing w:after="0" w:line="254" w:lineRule="auto"/>
        <w:rPr>
          <w:sz w:val="20"/>
          <w:szCs w:val="20"/>
          <w:color w:val="auto"/>
        </w:rPr>
      </w:pPr>
      <w:r>
        <w:rPr>
          <w:rFonts w:ascii="Times New Roman" w:cs="Times New Roman" w:eastAsia="Times New Roman" w:hAnsi="Times New Roman"/>
          <w:sz w:val="17"/>
          <w:szCs w:val="17"/>
          <w:color w:val="auto"/>
        </w:rPr>
        <w:t>Information concerning our nominees and directors is set forth below. The biographical description of each director includes the specific experience, qualifications, attributes and skills that the Board would expect to consider if it were making a conclusion currently as to whether such person should serve as a director.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Class II Director Nominees for Election</w:t>
      </w:r>
    </w:p>
    <w:p>
      <w:pPr>
        <w:spacing w:after="0" w:line="230" w:lineRule="exact"/>
        <w:rPr>
          <w:sz w:val="20"/>
          <w:szCs w:val="20"/>
          <w:color w:val="auto"/>
        </w:rPr>
      </w:pPr>
    </w:p>
    <w:p>
      <w:pPr>
        <w:ind w:right="40" w:firstLine="309"/>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Devin O'Reilly </w:t>
      </w:r>
      <w:r>
        <w:rPr>
          <w:rFonts w:ascii="Times New Roman" w:cs="Times New Roman" w:eastAsia="Times New Roman" w:hAnsi="Times New Roman"/>
          <w:sz w:val="17"/>
          <w:szCs w:val="17"/>
          <w:color w:val="auto"/>
        </w:rPr>
        <w:t>has served as a director of Surgery Partners since August 2017, including as Chairman from August 2017 to January 2020. Mr. O'Reilly joined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Bain Capital Private Equity, LP ("Bain Capital Private Equity") in 2005 and currently serves as a Partner. Prior to joining Bain Capital Private Equity, Mr. O'Reilly was a consultant at Bain &amp; Company where he consulted for private equity and healthcare industries. Mr. O'Reilly has served as a director of Aveanna Healthcare since 2017, Zelis since 2019, PartsSource since 2021, and athenahealth and LeanTaaS since 2022. He previously served as a director of several Bain Capital portfolio companies including Bio Products Laboratory, Grupo Notre Dame Intermedica, and US Renal Care among others. Mr. O'Reilly holds a B.A. from Princeton University and an M.B.A. from The Wharton School at the University of Pennsylvania. Our Board believes that Mr. O’Reilly is qualified to serve as a director based on, among other things, his experience as an investor in other healthcare companies.</w:t>
      </w:r>
    </w:p>
    <w:p>
      <w:pPr>
        <w:spacing w:after="0" w:line="192"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Brent Turner </w:t>
      </w:r>
      <w:r>
        <w:rPr>
          <w:rFonts w:ascii="Times New Roman" w:cs="Times New Roman" w:eastAsia="Times New Roman" w:hAnsi="Times New Roman"/>
          <w:sz w:val="17"/>
          <w:szCs w:val="17"/>
          <w:color w:val="auto"/>
        </w:rPr>
        <w:t>has served as a director of Surgery Partners since December 2015. Mr. Turner was the Chief Executive Officer and a member of the Board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Directors of Summit BHC, a leading inpatient behavioral healthcare company from September 2020 until December 2024. Mr. Turner previously served as the President of Acadia Healthcare Company Inc. from April 2012 until March 2019. Mr. Turner joined Acadia in February 2011 as a Co-President. Prior to joining Acadia, Mr. Turner served as the Executive Vice President, Finance and Administration of Psychiatric Solutions, Inc. from August 2005 to November 2010 and prior to that, as the Vice President, Treasurer and Investor Relations and as a Division President. Mr. Turner served on the Board of Trustees of the National Association of Behavioral Healthcare (NABH), and served as Chairman in 2009 and 2018. Mr. Turner previously served on the Board of Directors of LHC Group, Inc. from August 2014 until February 2023 when the company was acquired by UnitedHealth Group. Mr. Turner holds a B.A. in Economics from Vanderbilt University and an M.B.A. from the Vanderbilt Owen Graduate School</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7"/>
          <w:szCs w:val="17"/>
          <w:color w:val="auto"/>
        </w:rPr>
        <w:t>of Management. Our Board believes that Mr. Turner is qualified to serve as a director based on, among other things, his experience as an executive in the healthcare industry, his service as a board member of other publicly traded companies and his financial knowledge.</w:t>
      </w:r>
    </w:p>
    <w:p>
      <w:pPr>
        <w:spacing w:after="0" w:line="186"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Laura L. Forese, M.D. </w:t>
      </w:r>
      <w:r>
        <w:rPr>
          <w:rFonts w:ascii="Times New Roman" w:cs="Times New Roman" w:eastAsia="Times New Roman" w:hAnsi="Times New Roman"/>
          <w:sz w:val="17"/>
          <w:szCs w:val="17"/>
          <w:color w:val="auto"/>
        </w:rPr>
        <w:t>has served as a director of Surgery Partners since January 2025. Dr. Forese's career in healthcare administration spans over 40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years, most recently serving as an executive vice president and chief operating officer for New York-Presbyterian, one of the nation's most comprehensive, integrated academic healthcare systems, which includes 10 hospital campuses, approximately 200 primary and specialty care clinics and medical groups, and more than 45,000 employees and affiliated physicians. Prior to that, Dr. Forese held other executive and management positions within the New York-Presbyterian organization, focusing on patient safety, efficiency, and transformation. Under Dr. Forese's leadership, the New York-Presbyterian Medical Groups was established to expand the organization's regional footprint and standardize financial, operational, and clinical practices to ensure that patients received the same exceptional standard of care throughout the healthcare system. Active in multiple healthcare and civic organizations, Dr. Forese is chair emerita of the NIH Clinical Research Hospital board and trustee emerita of Princeton University. Currently, she serves as a board director of the Shubert Organization, a trustee of the Mother Cabrini Health Foundation, and a director of Nereid Therapeutics. Dr. Forese previously served on the Board of Directors of Veuu Inc. from 2023 until 2025. From 2015 to 2021, Dr. Forese was a director of Cantel Medical Corp until it was acquired by another public healthcare company. Dr. Forese is an orthopedic surgeon. She obtained her medical degree from Columbia University College of Physicians &amp; Surgeons and a master’s degree in health services management from the Columbia University School of Public Health. Dr. Forese received a bachelor’s degree in civil engineering and operations research from Princeton University, where she graduated summa cum laude and Phi Beta Kappa. Our Board believes that Dr. Forese is qualified to serve as a director based on, among other things, her experience and skills gained from being a physician as well as her experience serving as an executive in the healthcare industry.</w:t>
      </w:r>
    </w:p>
    <w:p>
      <w:pPr>
        <w:spacing w:after="0" w:line="19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Directors Continuing in Office</w:t>
      </w: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Class III Directors</w:t>
      </w:r>
      <w:r>
        <w:rPr>
          <w:rFonts w:ascii="Times New Roman" w:cs="Times New Roman" w:eastAsia="Times New Roman" w:hAnsi="Times New Roman"/>
          <w:sz w:val="17"/>
          <w:szCs w:val="17"/>
          <w:color w:val="auto"/>
        </w:rPr>
        <w:t>. The following directors have terms ending in 2027:</w:t>
      </w:r>
    </w:p>
    <w:p>
      <w:pPr>
        <w:spacing w:after="0" w:line="232" w:lineRule="exact"/>
        <w:rPr>
          <w:sz w:val="20"/>
          <w:szCs w:val="20"/>
          <w:color w:val="auto"/>
        </w:rPr>
      </w:pPr>
    </w:p>
    <w:p>
      <w:pPr>
        <w:ind w:right="60" w:firstLine="309"/>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Clifford G. Adlerz </w:t>
      </w:r>
      <w:r>
        <w:rPr>
          <w:rFonts w:ascii="Times New Roman" w:cs="Times New Roman" w:eastAsia="Times New Roman" w:hAnsi="Times New Roman"/>
          <w:sz w:val="17"/>
          <w:szCs w:val="17"/>
          <w:color w:val="auto"/>
        </w:rPr>
        <w:t>has served as a director of Surgery Partners since October 2017. Mr. Adlerz previously served as a Consultant to Surgery Partners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February 2018 until May 2019 and Interim Chief Executive Officer of Surgery Partners from September 2017 until January 2018. Before his time at Surgery Partners, Mr. Adlerz held several management roles at Symbion, Inc., a large multi-specialty provider of ambulatory surgery centers and hospitals, including as President from May 2002 until Symbion was acquired by Surgery Partners in November 2014. Prior to joining Symbion, Mr. Adlerz served as Division Vice President of HCA, a healthcare facilities operator, as well as Regional Vice President of Midsouth HealthTrust. Mr. Adlerz currently serves on the Board of Directors of US HealthConnect. Mr. Adlerz previously served on the Board of Directors of Ovation Fertility. Mr. Adlerz previously served as a director for the National Ambulatory Surgery Center Association and was part of the leadership group for ASC Quality Collaboration. Mr. Adlerz holds a B.A. in Business and an M.B.A. from the University of Florida. Our Board believes that Mr. Adlerz is qualified to serve as a director based on, among other things, his experience with the Company and its predecessor as well as in the healthcare industry generally and his general business and financial acumen.</w:t>
      </w:r>
    </w:p>
    <w:p>
      <w:pPr>
        <w:spacing w:after="0" w:line="193"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J. Eric Evans </w:t>
      </w:r>
      <w:r>
        <w:rPr>
          <w:rFonts w:ascii="Times New Roman" w:cs="Times New Roman" w:eastAsia="Times New Roman" w:hAnsi="Times New Roman"/>
          <w:sz w:val="17"/>
          <w:szCs w:val="17"/>
          <w:color w:val="auto"/>
        </w:rPr>
        <w:t>has served as a director of Surgery Partners since January 2020. Mr. Evans is currently Chief Executive Officer of Surgery Partners, a role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 has held since January 2020, and previously served as Executive Vice President and Chief Operating Officer of Surgery Partners from April 2019 until January 2020. Prior to joining Surgery Partners, Mr. Evans served as President of Hospital Operations of Tenet Healthcare Corporation from March of 2016 through 2018 as Chief Executive Officer of Tenet Healthcare Corporation’s former Texas region from April 2015 to March 2016, and as Market Chief Executive Officer of The Hospitals of Providence in El Paso from September 2012 to April 2015. Mr. Evans has served as a director of Teledoc Health since September 2023. He previously served as a director of QuVa Pharma from March 2022 to February 2026. Mr. Evans holds a bachelor’s degree in industrial management from Purdue University and an M.B.A. from Harvard Business School. Our Board believes that Mr. Evans is qualified to serve as a director based on his service as our Chief Executive Officer and his prior experience serving as an executive in the healthcare industry.</w:t>
      </w:r>
    </w:p>
    <w:p>
      <w:pPr>
        <w:spacing w:after="0" w:line="195"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Blair E. Hendrix </w:t>
      </w:r>
      <w:r>
        <w:rPr>
          <w:rFonts w:ascii="Times New Roman" w:cs="Times New Roman" w:eastAsia="Times New Roman" w:hAnsi="Times New Roman"/>
          <w:sz w:val="17"/>
          <w:szCs w:val="17"/>
          <w:color w:val="auto"/>
        </w:rPr>
        <w:t>has served as a director of Surgery Partners since May 2021. Mr. Hendrix joined Bain Capital Private Equity in 2000 and served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Partner until 2024. He currently serves as a Senior Advisor to the firm. Prior to joining Bain Capital, Mr. Hendrix was Executive Vice President and Chief Operating Officer of DigiTrace Care Services, Inc. (now SleepMed), a national healthcare services company he co-founded. Earlier in his career, Mr. Hendrix was employed by Corporate Decisions, Inc. (now Oliver Wyman Consulting), a management consulting firm with a focus in healthcare. He has served on numerous corporate boards within Bain Capital and currently serves as a director of US Renal Care (since 2019) and Merchants Fleet (since 2024). Mr. Hendrix received an A.B. from Brown University. Our Board believes that Mr. Hendrix is qualified to serve as a director based on, among other things, his business and finance experience within the healthcare industry.</w:t>
      </w:r>
    </w:p>
    <w:p>
      <w:pPr>
        <w:spacing w:after="0" w:line="205" w:lineRule="exact"/>
        <w:rPr>
          <w:sz w:val="20"/>
          <w:szCs w:val="20"/>
          <w:color w:val="auto"/>
        </w:rPr>
      </w:pPr>
    </w:p>
    <w:p>
      <w:pPr>
        <w:ind w:right="40" w:firstLine="619"/>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Andrew T. Kaplan </w:t>
      </w:r>
      <w:r>
        <w:rPr>
          <w:rFonts w:ascii="Times New Roman" w:cs="Times New Roman" w:eastAsia="Times New Roman" w:hAnsi="Times New Roman"/>
          <w:sz w:val="17"/>
          <w:szCs w:val="17"/>
          <w:color w:val="auto"/>
        </w:rPr>
        <w:t>has served as a director of Surgery Partners since August 2018. Mr. Kaplan joined Bain Capital Private Equity in 2009 and is a Partner.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Prior to joining Bain Capital Private Equity, Mr. Kaplan was an investment banker with Goldman Sachs. He also co-founded EngagedHealth, LLC, a post-hospitalization service for chronically ill, low income patients aiming to improve outcomes, reduce readmissions, and save costs. Mr. Kaplan has served on the Board of Directors for QuVa Pharma since 2015, US Renal Care since 2019, PCI Pharma Services since 2025 and Kailera Therapeutics since 2025. He previously served as a</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director of InnovaCare Health from 2021 to 2025. Mr. Kaplan holds a B.S. in Economics from The Wharton School at the University of Pennsylvania and an M.B.A from Harvard Business School. Our Board believes that Mr. Kaplan is qualified to serve as a director based on, among other things, his experience in co-founding a healthcare company and his general financial experience.</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Class I Directors</w:t>
      </w:r>
      <w:r>
        <w:rPr>
          <w:rFonts w:ascii="Times New Roman" w:cs="Times New Roman" w:eastAsia="Times New Roman" w:hAnsi="Times New Roman"/>
          <w:sz w:val="17"/>
          <w:szCs w:val="17"/>
          <w:color w:val="auto"/>
        </w:rPr>
        <w:t>. The following directors have terms ending in 2028:</w:t>
      </w:r>
    </w:p>
    <w:p>
      <w:pPr>
        <w:spacing w:after="0" w:line="245"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John A. Deane </w:t>
      </w:r>
      <w:r>
        <w:rPr>
          <w:rFonts w:ascii="Times New Roman" w:cs="Times New Roman" w:eastAsia="Times New Roman" w:hAnsi="Times New Roman"/>
          <w:sz w:val="17"/>
          <w:szCs w:val="17"/>
          <w:color w:val="auto"/>
        </w:rPr>
        <w:t>has served as a director of Surgery Partners since May 2019. Mr. Deane served as Chairman, Advisory Board Consulting at the Advisory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Company from December 2009 until April 2018. Prior to joining the Advisory Board Company, he was the Founder and Chief Executive Officer of Southwind Health Partners, LLC, a start-up health care business focused on providing management services for hospital and health system sponsored medical groups, from October 1998 until December 2009. Following his health care career, Mr. Deane has served on several not-for-profit boards and as the owner/operator of a boutique resort and marina outside of Nashville, Tennessee. Mr. Deane holds a B.A. in Political Science and a M.P.A from American University. Our Board believes that Mr. Deane is qualified to serve as a director based on, among other things, his extensive experience working with physicians in the healthcare industry.</w:t>
      </w:r>
    </w:p>
    <w:p>
      <w:pPr>
        <w:spacing w:after="0" w:line="395"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i w:val="1"/>
          <w:iCs w:val="1"/>
          <w:color w:val="auto"/>
        </w:rPr>
        <w:t xml:space="preserve">Teresa DeLuca, M.D., MBA </w:t>
      </w:r>
      <w:r>
        <w:rPr>
          <w:rFonts w:ascii="Times New Roman" w:cs="Times New Roman" w:eastAsia="Times New Roman" w:hAnsi="Times New Roman"/>
          <w:sz w:val="17"/>
          <w:szCs w:val="17"/>
          <w:color w:val="auto"/>
        </w:rPr>
        <w:t>has served as a director of Surgery Partners since September 2016. Dr. DeLuca served as a Managing Director at Columbia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University's NY Life Science Venture Fund from January 2018 until January 2020 and continues to serve as a Faculty Advisor at the University’s School of Entrepreneurship and Faculty Member of Columbia University School of Professional Studies. She previously served as Assistant Clinical Professor of Psychiatry at the Icahn School of Medicine at Mount Sinai in New York City from 2014 to 2017 and as the Chief Medical Officer of Magellan Pharmacy Solutions at Magellan Health from 2012 to 2014. Prior to that, she served as SVP of Pharmacy Health Solutions at Humana, National Medical Director &amp; VP of Clinical Sales Solutions at Walgreen Co., and as VP of Personalized Medicine, VP of Medical Policy &amp; Clinical Quality and Chief Medical Officer United Health Group at Medco. Prior to taking on these executive leadership roles, Dr. DeLuca was a Senior Director of Global Product Development Services at PRA International and a Senior Medical Scientist at GlaxoSmithKline. Dr. DeLuca serves as a director of Life Stance, a public behavioral healthcare company, since 2024. Previously served as a director of Rejuveron, a private Swiss drug discovery company from March 2022 to July 2025. She also previously served as a director of 180 Life Science, a public biotechnology company, from May 2021 to December 2023. She also served as a director of North Bud Farms, Inc., a private to public pharmaceutical commercialization company, from May 2018 to February 2020. Dr. DeLuca completed her residency (M.D.) at Jefferson Medical College of Thomas Jefferson University and earned her M.B.A. from Drexel University. As a strong advocate for good board governance, Dr. DeLuca earned the Carnegie Mellon Cybersecurity Certificate in 2016 and passed the Digital Directors Network Cyber Risk Masterclass examination for Public Companies in 2022. Dr. DeLuca has continued to maintain good standing with the National Association of Corporate Directors (NACD) as a Board Leadership Fellow (Master Level) since 2016. Dr. DeLuca has also passed the NACD’s “Directorship Certified” examination (NACD.DC) in 2020. In 2023, she became a NACD “Subject Matter Expert” in examination development and a Board Advisory Faculty Member, and in 2024 began serving as a NACD Certification Commissioner. Dr. DeLuca was named in 2025 as NACD Directorship Certification Ambassador Inaugural Class. She has also earned the American College of Corporate Directors (ACCD) “Master Professional Director – Public Company” credential in 2021. Dr. DeLuca was named a “Director to Watch” in the 2020 Directors &amp; Board Annual Report and a “Featured Director of the Month” in 2022 by the Chief Executive Group. In 2022, Dr. DeLuca became Co-Chair and Leadership Council Member for the international organization, Women Corporate Directors (WCD). In 2024 she was named to “Who’s Who in America” and joined Madam Chair in 2025. Our Board believes that Dr. DeLuca is qualified to serve as a director based on, among other things, her healthcare knowledge, experience and skills gained from being a physician with active multiple medical licenses, as well as previously serving as a Fortune 50 Chief Medical Officer and P&amp;L business line owner.</w:t>
      </w:r>
    </w:p>
    <w:p>
      <w:pPr>
        <w:spacing w:after="0" w:line="204"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Lloyd Dean </w:t>
      </w:r>
      <w:r>
        <w:rPr>
          <w:rFonts w:ascii="Times New Roman" w:cs="Times New Roman" w:eastAsia="Times New Roman" w:hAnsi="Times New Roman"/>
          <w:sz w:val="17"/>
          <w:szCs w:val="17"/>
          <w:color w:val="auto"/>
        </w:rPr>
        <w:t>was appointed to the Board on February 26, 2026. Mr. Dean has served as the Chief Executive Emeritus and the Founding Executive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CommonSpirit Health since August 2022, where he previously served as the Chief Executive Officer from February 2019 to July 2022. Prior to that, he worked at Dignity Health (f/k/a Catholic Healthcare West) from 2000 to 2019, where he most recently served as Chief Executive Officer and President. Mr. Dean worked at Advocate Health Care as Chief Operating Officer from 1997 to 2000 and as Executive Vice President from 1995 to 1997. He has also held executive positions at EHS Healthcare and Consumer Health Services. Since August 2015, Mr. Dean has served on the board of directors of McDonald’s Corporation, a public company. In addition, Mr. Dean currently serves on the board of directors of Progyny, Inc. and Golden Arrow Merger Corp. Mr. Dean holds a Bachelor of Science in Sociology and a Master’s in Education from Western Michigan University, an honorary Doctorate of Humane Letters from the University of San Francisco, and an honorary Doctor of Science degree from Morehouse School of Medicine, California State University, and California Polytechnic State University. CommonSpirit Health has also established the Lloyd H. Dean Institute for Humankindness and Health Justice. We believe that Mr. Dean is qualified to serve on our board of directors because of his extensive knowledge and experience in healthcare.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34" w:lineRule="exact"/>
        <w:rPr>
          <w:sz w:val="20"/>
          <w:szCs w:val="20"/>
          <w:color w:val="auto"/>
        </w:rPr>
      </w:pPr>
    </w:p>
    <w:p>
      <w:pPr>
        <w:ind w:right="200" w:firstLine="309"/>
        <w:spacing w:after="0" w:line="287" w:lineRule="auto"/>
        <w:rPr>
          <w:sz w:val="20"/>
          <w:szCs w:val="20"/>
          <w:color w:val="auto"/>
        </w:rPr>
      </w:pPr>
      <w:r>
        <w:rPr>
          <w:rFonts w:ascii="Times New Roman" w:cs="Times New Roman" w:eastAsia="Times New Roman" w:hAnsi="Times New Roman"/>
          <w:sz w:val="17"/>
          <w:szCs w:val="17"/>
          <w:color w:val="auto"/>
        </w:rPr>
        <w:t>Our Board currently consists of 10 directors. At each annual meeting of stockholders, a class of directors will be elected for a three-year term to succeed the directors of the same class whose terms are then expiring. The division of the three classes and their respective election dates are as follows:</w:t>
      </w:r>
    </w:p>
    <w:p>
      <w:pPr>
        <w:spacing w:after="0" w:line="164" w:lineRule="exact"/>
        <w:rPr>
          <w:sz w:val="20"/>
          <w:szCs w:val="20"/>
          <w:color w:val="auto"/>
        </w:rPr>
      </w:pPr>
    </w:p>
    <w:p>
      <w:pPr>
        <w:ind w:left="1240" w:hanging="309"/>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 directors' term will expire at the annual meeting of stockholders to be held in 2028;</w:t>
      </w:r>
    </w:p>
    <w:p>
      <w:pPr>
        <w:spacing w:after="0" w:line="229"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II directors' term will expire at the annual meeting of stockholders to be held in 2029; and</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III directors' term will expire at the annual meeting of stockholders to be held in 2027;</w:t>
      </w:r>
    </w:p>
    <w:p>
      <w:pPr>
        <w:spacing w:after="0" w:line="230" w:lineRule="exact"/>
        <w:rPr>
          <w:sz w:val="20"/>
          <w:szCs w:val="20"/>
          <w:color w:val="auto"/>
        </w:rPr>
      </w:pPr>
    </w:p>
    <w:p>
      <w:pPr>
        <w:ind w:right="140" w:firstLine="309"/>
        <w:spacing w:after="0" w:line="262" w:lineRule="auto"/>
        <w:rPr>
          <w:sz w:val="20"/>
          <w:szCs w:val="20"/>
          <w:color w:val="auto"/>
        </w:rPr>
      </w:pPr>
      <w:r>
        <w:rPr>
          <w:rFonts w:ascii="Times New Roman" w:cs="Times New Roman" w:eastAsia="Times New Roman" w:hAnsi="Times New Roman"/>
          <w:sz w:val="17"/>
          <w:szCs w:val="17"/>
          <w:color w:val="auto"/>
        </w:rPr>
        <w:t>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w:t>
      </w:r>
    </w:p>
    <w:p>
      <w:pPr>
        <w:spacing w:after="0" w:line="185" w:lineRule="exact"/>
        <w:rPr>
          <w:sz w:val="20"/>
          <w:szCs w:val="20"/>
          <w:color w:val="auto"/>
        </w:rPr>
      </w:pPr>
    </w:p>
    <w:p>
      <w:pPr>
        <w:jc w:val="both"/>
        <w:ind w:right="20" w:firstLine="309"/>
        <w:spacing w:after="0" w:line="249" w:lineRule="auto"/>
        <w:rPr>
          <w:sz w:val="20"/>
          <w:szCs w:val="20"/>
          <w:color w:val="auto"/>
        </w:rPr>
      </w:pPr>
      <w:r>
        <w:rPr>
          <w:rFonts w:ascii="Times New Roman" w:cs="Times New Roman" w:eastAsia="Times New Roman" w:hAnsi="Times New Roman"/>
          <w:sz w:val="17"/>
          <w:szCs w:val="17"/>
          <w:color w:val="auto"/>
        </w:rPr>
        <w:t>Our charter provides that directors will be elected at the annual meeting of the stockholders and each director elected will hold office until his or her successor is elected and qualified. The size of the Board is determined exclusively by a majority of the directors then in office and vacancies and newly created directorships on the Board are filled exclusively by a majority of the directors then in office, even if less than a quorum, or by a sole remaining director, except in each case, that any vacancy created by the removal of a director by the stockholders for cause shall only be filled, in addition to any other vote otherwise required by law, by vote of a majority of the then outstanding capital stock entitled to vote generally on the election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57" w:lineRule="exact"/>
        <w:rPr>
          <w:sz w:val="20"/>
          <w:szCs w:val="20"/>
          <w:color w:val="auto"/>
        </w:rPr>
      </w:pPr>
    </w:p>
    <w:p>
      <w:pPr>
        <w:ind w:right="40" w:firstLine="309"/>
        <w:spacing w:after="0" w:line="250" w:lineRule="auto"/>
        <w:rPr>
          <w:sz w:val="20"/>
          <w:szCs w:val="20"/>
          <w:color w:val="auto"/>
        </w:rPr>
      </w:pPr>
      <w:r>
        <w:rPr>
          <w:rFonts w:ascii="Times New Roman" w:cs="Times New Roman" w:eastAsia="Times New Roman" w:hAnsi="Times New Roman"/>
          <w:sz w:val="17"/>
          <w:szCs w:val="17"/>
          <w:color w:val="auto"/>
        </w:rPr>
        <w:t>The Board has reviewed the independence of our directors based on the corporate governance standards of Nasdaq. Based on this review, the Board determined that each of Drs. DeLuca and Forese and Messrs. Deane, O'Reilly, Turner, Adlerz, Hendrix, Kaplan and Dean is independent within the meaning of the corporate governance standards of Nasdaq. In making this determination, our Board considered the relationships that each of these non-employee directors has with the Company and all other facts and circumstances our Board deemed relevant in determining their independence, including the beneficial ownership of our capital stock held by each non-employee director. As a result, we currently comply with the Nasdaq corporate governance requirements. As required under applicable Nasdaq rules, our independent directors meet in regularly scheduled executive sessions at which only independent directors are present.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157" w:lineRule="exact"/>
        <w:rPr>
          <w:sz w:val="20"/>
          <w:szCs w:val="20"/>
          <w:color w:val="auto"/>
        </w:rPr>
      </w:pPr>
    </w:p>
    <w:p>
      <w:pPr>
        <w:ind w:right="200" w:firstLine="309"/>
        <w:spacing w:after="0" w:line="250" w:lineRule="auto"/>
        <w:rPr>
          <w:sz w:val="20"/>
          <w:szCs w:val="20"/>
          <w:color w:val="auto"/>
        </w:rPr>
      </w:pPr>
      <w:r>
        <w:rPr>
          <w:rFonts w:ascii="Times New Roman" w:cs="Times New Roman" w:eastAsia="Times New Roman" w:hAnsi="Times New Roman"/>
          <w:sz w:val="17"/>
          <w:szCs w:val="17"/>
          <w:color w:val="auto"/>
        </w:rPr>
        <w:t>Our bylaws provide maximum flexibility to the Board in choosing a Chairman of the Board and a Chief Executive Officer. The bylaws provide that such offices may be held by different people or the same person, as determined by the Board. This flexibility allows the Board to determine whether it is in the best interest of the Company and our stockholders to combine the roles of Chief Executive Officer and Chairman of the Board in the same person. The roles of Chief Executive Officer and Chairman of the Board are currently separate. Mr. Hendrix was appointed to serve as Chairman of the Board on August 4, 2025 following the resignation of our former Chairman. The Board determined that Mr. Hendrix's business and finance experience within the healthcare industry gives him a unique and relevant perspective to serve as our Chairman.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Selection of New Directors</w:t>
      </w:r>
    </w:p>
    <w:p>
      <w:pPr>
        <w:spacing w:after="0" w:line="169" w:lineRule="exact"/>
        <w:rPr>
          <w:sz w:val="20"/>
          <w:szCs w:val="20"/>
          <w:color w:val="auto"/>
        </w:rPr>
      </w:pPr>
    </w:p>
    <w:p>
      <w:pPr>
        <w:ind w:firstLine="309"/>
        <w:spacing w:after="0" w:line="244" w:lineRule="auto"/>
        <w:rPr>
          <w:sz w:val="20"/>
          <w:szCs w:val="20"/>
          <w:color w:val="auto"/>
        </w:rPr>
      </w:pPr>
      <w:r>
        <w:rPr>
          <w:rFonts w:ascii="Times New Roman" w:cs="Times New Roman" w:eastAsia="Times New Roman" w:hAnsi="Times New Roman"/>
          <w:sz w:val="17"/>
          <w:szCs w:val="17"/>
          <w:color w:val="auto"/>
        </w:rPr>
        <w:t>The Board is responsible for nominating members for election by the stockholders with direct input from the Chief Executive Officer. It is the opinion of the Board that directors should possess the highest personal and professional ethics, integrity and values, and be committed to representing the long-term interests of the Company's stakeholders. The Board believes that each director should possess a combination of skills, professional experience and diversity of viewpoints necessary to oversee the Company's business. In addition, it believes that there are certain attributes that every director should possess, as reflected in its membership criteria. Accordingly, the Board considers the qualifications of directors and director candidates individually and in the broader context of its overall composition and the Company's current and future needs. Among other things, the Board has determined that it is important to have directors with the following skills and experiences: leadership experience, as directors with experience in significant leadership positions possess strong abilities to motivate and manage others and to identify and develop leadership qualities in others; knowledge of the Company's industry, particularly physician and patient relations, which is relevant to understanding the Company's business and strategy; operations experience, as it gives directors a practical understanding of developing, implementing and assessing the Company's business strategy and operating plan; risk management experience, which is relevant to oversight of the risks facing the Company's business; financial/accounting experience, particularly knowledge of finance and financial reporting processes, which is relevant to understanding and evaluating the Company's capital structure, financial statements and reporting requirements; and strategic planning experience, which is relevant to the Board's review of the Company's strategies and monitoring their implementation and results.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firstLine="309"/>
        <w:spacing w:after="0" w:line="250" w:lineRule="auto"/>
        <w:rPr>
          <w:sz w:val="20"/>
          <w:szCs w:val="20"/>
          <w:color w:val="auto"/>
        </w:rPr>
      </w:pPr>
      <w:r>
        <w:rPr>
          <w:rFonts w:ascii="Times New Roman" w:cs="Times New Roman" w:eastAsia="Times New Roman" w:hAnsi="Times New Roman"/>
          <w:sz w:val="17"/>
          <w:szCs w:val="17"/>
          <w:color w:val="auto"/>
        </w:rPr>
        <w:t>The Board also requires that each director be able to dedicate sufficient time to ensure the diligent performance of his or her duties on the Company's behalf, including attending all Board and applicable committee meetings. In general, the Board does not have a policy limiting the number of other public company boards of directors upon which a director may sit. However, the Board will consider the number of other boards of directors (or comparable governing bodies), particularly with respect to public companies, on which a prospective nominee is a member. Although the Board does not impose a limit on outside directorships, it does recognize the substantial time commitments attendant to membership on the Board and expects that directors devote all such time as is necessary to fulfill their accompanying responsibilities, both in terms of preparation for, and attendance and participation at, meetings.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Meeting Attendance</w:t>
      </w:r>
    </w:p>
    <w:p>
      <w:pPr>
        <w:spacing w:after="0" w:line="157" w:lineRule="exact"/>
        <w:rPr>
          <w:sz w:val="20"/>
          <w:szCs w:val="20"/>
          <w:color w:val="auto"/>
        </w:rPr>
      </w:pPr>
    </w:p>
    <w:p>
      <w:pPr>
        <w:ind w:firstLine="309"/>
        <w:spacing w:after="0" w:line="254" w:lineRule="auto"/>
        <w:rPr>
          <w:sz w:val="20"/>
          <w:szCs w:val="20"/>
          <w:color w:val="auto"/>
        </w:rPr>
      </w:pPr>
      <w:r>
        <w:rPr>
          <w:rFonts w:ascii="Times New Roman" w:cs="Times New Roman" w:eastAsia="Times New Roman" w:hAnsi="Times New Roman"/>
          <w:sz w:val="17"/>
          <w:szCs w:val="17"/>
          <w:color w:val="auto"/>
        </w:rPr>
        <w:t>Under our Corporate Governance Guidelines, directors are expected to attend all Board meetings and meetings of the committees of the Board on which they serve, as well as annual meetings of stockholders. During 2025, there were six meetings of our Board. No current director attended fewer than 75% of the aggregate of (i) the total number of meetings of the Board and (ii) the total number of meetings of committees of the Board for the period during which the director served on the Board or such committee in 2025. All directors who served on the Board at the time of the 2025 annual meeting of stockholders attended the meeting.</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Board’s Role in Risk Oversight</w:t>
      </w:r>
    </w:p>
    <w:p>
      <w:pPr>
        <w:spacing w:after="0" w:line="169" w:lineRule="exact"/>
        <w:rPr>
          <w:sz w:val="20"/>
          <w:szCs w:val="20"/>
          <w:color w:val="auto"/>
        </w:rPr>
      </w:pPr>
    </w:p>
    <w:p>
      <w:pPr>
        <w:ind w:right="20" w:firstLine="309"/>
        <w:spacing w:after="0" w:line="254" w:lineRule="auto"/>
        <w:rPr>
          <w:sz w:val="20"/>
          <w:szCs w:val="20"/>
          <w:color w:val="auto"/>
        </w:rPr>
      </w:pPr>
      <w:r>
        <w:rPr>
          <w:rFonts w:ascii="Times New Roman" w:cs="Times New Roman" w:eastAsia="Times New Roman" w:hAnsi="Times New Roman"/>
          <w:sz w:val="17"/>
          <w:szCs w:val="17"/>
          <w:color w:val="auto"/>
        </w:rPr>
        <w:t>Our Board, as a whole and through its committees, has responsibility for the oversight of risk management. In its risk oversight role, our Board has the responsibility to satisfy itself that the risk management processes designed and implemented by management are adequate and functioning as designed. Our Board, primarily through its Audit Committee, oversees an enterprise-wide approach to risk management, designed to support the achievement of organizational objectives, including strategic objectives, to improve long-term organizational performance and enhance stockholder value.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w:t>
      </w:r>
    </w:p>
    <w:p>
      <w:pPr>
        <w:spacing w:after="0" w:line="169" w:lineRule="exact"/>
        <w:rPr>
          <w:sz w:val="20"/>
          <w:szCs w:val="20"/>
          <w:color w:val="auto"/>
        </w:rPr>
      </w:pPr>
    </w:p>
    <w:p>
      <w:pPr>
        <w:ind w:right="160" w:firstLine="309"/>
        <w:spacing w:after="0" w:line="253" w:lineRule="auto"/>
        <w:rPr>
          <w:sz w:val="20"/>
          <w:szCs w:val="20"/>
          <w:color w:val="auto"/>
        </w:rPr>
      </w:pPr>
      <w:r>
        <w:rPr>
          <w:rFonts w:ascii="Times New Roman" w:cs="Times New Roman" w:eastAsia="Times New Roman" w:hAnsi="Times New Roman"/>
          <w:sz w:val="17"/>
          <w:szCs w:val="17"/>
          <w:color w:val="auto"/>
        </w:rPr>
        <w:t>We have an Audit Committee, a Compensation, Culture and People Committee (“Compensation Committee”), a Nominating and Corporate Governance Committee (“Governance Committee”) and a Compliance and Ethics Committee with the composition and responsibilities described below. Each committee operates under a charter that is approved by our Board. The members of each committee are appointed by the Board and serve until their successor is elected and qualified, unless they are earlier removed or resign. In addition, from time to time, special committees may be established under the direction of the Board when necessary to address specific issues.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171" w:lineRule="exact"/>
        <w:rPr>
          <w:sz w:val="20"/>
          <w:szCs w:val="20"/>
          <w:color w:val="auto"/>
        </w:rPr>
      </w:pPr>
    </w:p>
    <w:p>
      <w:pPr>
        <w:ind w:right="800" w:firstLine="309"/>
        <w:spacing w:after="0" w:line="271" w:lineRule="auto"/>
        <w:rPr>
          <w:sz w:val="20"/>
          <w:szCs w:val="20"/>
          <w:color w:val="auto"/>
        </w:rPr>
      </w:pPr>
      <w:r>
        <w:rPr>
          <w:rFonts w:ascii="Times New Roman" w:cs="Times New Roman" w:eastAsia="Times New Roman" w:hAnsi="Times New Roman"/>
          <w:sz w:val="17"/>
          <w:szCs w:val="17"/>
          <w:color w:val="auto"/>
        </w:rPr>
        <w:t>We have a separately standing Audit Committee established in accordance with Section 3(a)(58)(A) of the Exchange Act. The purpose of the Audit Committee is set forth in the Audit Committee charter. The Audit Committee's primary duties and responsibilities are to:</w:t>
      </w:r>
    </w:p>
    <w:p>
      <w:pPr>
        <w:spacing w:after="0" w:line="190" w:lineRule="exact"/>
        <w:rPr>
          <w:sz w:val="20"/>
          <w:szCs w:val="20"/>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 or replace, compensate and oversee the Company's independent auditor;</w:t>
      </w:r>
    </w:p>
    <w:p>
      <w:pPr>
        <w:spacing w:after="0" w:line="229" w:lineRule="exact"/>
        <w:rPr>
          <w:rFonts w:ascii="Times New Roman" w:cs="Times New Roman" w:eastAsia="Times New Roman" w:hAnsi="Times New Roman"/>
          <w:sz w:val="17"/>
          <w:szCs w:val="17"/>
          <w:color w:val="auto"/>
        </w:rPr>
      </w:pPr>
    </w:p>
    <w:p>
      <w:pPr>
        <w:ind w:left="620" w:right="300" w:hanging="307"/>
        <w:spacing w:after="0" w:line="26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 the Board with its oversight of the integrity of the Company's financial statements, the Company's compliance with legal and regulatory requirements, the independent auditor's qualifications, independence and audits, and the performance of the Company's internal audit function and the independent auditor; and</w:t>
      </w:r>
    </w:p>
    <w:p>
      <w:pPr>
        <w:spacing w:after="0" w:line="18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the report for inclusion in the Company's annual Proxy Statement as required by the rules of the SEC.</w:t>
      </w:r>
    </w:p>
    <w:p>
      <w:pPr>
        <w:spacing w:after="0" w:line="230" w:lineRule="exact"/>
        <w:rPr>
          <w:sz w:val="20"/>
          <w:szCs w:val="20"/>
          <w:color w:val="auto"/>
        </w:rPr>
      </w:pPr>
    </w:p>
    <w:p>
      <w:pPr>
        <w:ind w:right="60" w:firstLine="309"/>
        <w:spacing w:after="0" w:line="246" w:lineRule="auto"/>
        <w:rPr>
          <w:sz w:val="20"/>
          <w:szCs w:val="20"/>
          <w:color w:val="auto"/>
        </w:rPr>
      </w:pPr>
      <w:r>
        <w:rPr>
          <w:rFonts w:ascii="Times New Roman" w:cs="Times New Roman" w:eastAsia="Times New Roman" w:hAnsi="Times New Roman"/>
          <w:sz w:val="17"/>
          <w:szCs w:val="17"/>
          <w:color w:val="auto"/>
        </w:rPr>
        <w:t>The Audit Committee is responsible for the appointment, compensation, retention, oversight and replacement, if necessary, of the Company's independent auditor. The Audit Committee pre-approves all auditing services and permitted non-audit services (including the fees and terms thereof) to be performed by the independent auditor. The Audit Committee reviews and discusses with management and the independent auditor the Company's annual audited and quarterly unaudited financial statements and the disclosures under the section entitled "Management's Discussion and Analysis of Financial Condition and Results of Operations" in the Company's annual and quarterly reports filed with the SEC, including disclosures of critical accounting policies therein. The Audit Committee also reviews and approves all related party transactions in accordance with Company policy and reviews matters related to the Company's related party transaction policy and the Company's system of internal control, its financial and critical accounting practices, and policies relating to risk assessment and management, including cybersecurity risks.</w:t>
      </w:r>
    </w:p>
    <w:p>
      <w:pPr>
        <w:spacing w:after="0" w:line="215" w:lineRule="exact"/>
        <w:rPr>
          <w:sz w:val="20"/>
          <w:szCs w:val="20"/>
          <w:color w:val="auto"/>
        </w:rPr>
      </w:pPr>
    </w:p>
    <w:p>
      <w:pPr>
        <w:ind w:firstLine="309"/>
        <w:spacing w:after="0" w:line="249" w:lineRule="auto"/>
        <w:rPr>
          <w:sz w:val="20"/>
          <w:szCs w:val="20"/>
          <w:color w:val="auto"/>
        </w:rPr>
      </w:pPr>
      <w:r>
        <w:rPr>
          <w:rFonts w:ascii="Times New Roman" w:cs="Times New Roman" w:eastAsia="Times New Roman" w:hAnsi="Times New Roman"/>
          <w:sz w:val="17"/>
          <w:szCs w:val="17"/>
          <w:color w:val="auto"/>
        </w:rPr>
        <w:t>During 2025, the Audit Committee consisted of Brent Turner (chair), Teresa DeLuca, M.D. and John A. Deane. Mr. Turner is both an independent director and an "audit committee financial expert" within the meaning of Item 407 of Regulation S-K, and serves as chair of the Audit Committee. In addition, Dr. DeLuca and Mr. Deane are also independent directors within the meaning of Item 407 of Regulation S-K. The Audit Committee met five times in 2025. A copy of the Audit Committee charter, which satisfies the applicable standards of the SEC and Nasdaq, is available on the "Investors - Governance" page of our website at www.surgerypartners.com.</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Culture and People Committee</w:t>
      </w:r>
    </w:p>
    <w:p>
      <w:pPr>
        <w:spacing w:after="0" w:line="171" w:lineRule="exact"/>
        <w:rPr>
          <w:sz w:val="20"/>
          <w:szCs w:val="20"/>
          <w:color w:val="auto"/>
        </w:rPr>
      </w:pPr>
    </w:p>
    <w:p>
      <w:pPr>
        <w:ind w:right="120" w:firstLine="309"/>
        <w:spacing w:after="0" w:line="249" w:lineRule="auto"/>
        <w:rPr>
          <w:sz w:val="20"/>
          <w:szCs w:val="20"/>
          <w:color w:val="auto"/>
        </w:rPr>
      </w:pPr>
      <w:r>
        <w:rPr>
          <w:rFonts w:ascii="Times New Roman" w:cs="Times New Roman" w:eastAsia="Times New Roman" w:hAnsi="Times New Roman"/>
          <w:sz w:val="17"/>
          <w:szCs w:val="17"/>
          <w:color w:val="auto"/>
        </w:rPr>
        <w:t>The purpose of the Compensation Committee is to assist the Board in fulfilling its responsibilities relating to oversight of the compensation of our directors, executive officers and other employees and the administration of our benefits and equity-based compensation programs. Our Board has adopted a written charter under which the Compensation Committee operates, which satisfies the applicable standards of the SEC and Nasdaq. A copy of the Compensation Committee charter is available on the "Investors - Governance" page of our website at www.surgerypartners.com. The Compensation Committee annually reviews and assesses the adequacy of its charter.</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Compensation Committee's primary duties and responsibilities are to:</w:t>
      </w:r>
    </w:p>
    <w:p>
      <w:pPr>
        <w:spacing w:after="0" w:line="230" w:lineRule="exact"/>
        <w:rPr>
          <w:sz w:val="20"/>
          <w:szCs w:val="20"/>
          <w:color w:val="auto"/>
        </w:rPr>
      </w:pPr>
    </w:p>
    <w:p>
      <w:pPr>
        <w:ind w:left="620" w:right="20" w:hanging="307"/>
        <w:spacing w:after="0" w:line="250"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corporate goals and objectives relevant to the compensation of the Company's Chief Executive Officer (the "CEO") and the officers of the Company who report directly to the CEO and all “officers” as defined in Section 16 of the Exchange Act (collectively, the "Senior Officers"), evaluate the performance of the CEO and other Senior Officers in light of those goals and objectives and, either as a committee or together with the other independent directors (as directed by the Board), determine and approve, or recommend to the Board for approval, the compensation levels for the CEO and other Senior Officers based on this evaluation, with the deliberations and voting on the CEO's compensation to be conducted without the CEO present;</w:t>
      </w:r>
    </w:p>
    <w:p>
      <w:pPr>
        <w:spacing w:after="0" w:line="19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recommendations to the Board about the compensation of non-employee directors;</w:t>
      </w:r>
    </w:p>
    <w:p>
      <w:pPr>
        <w:spacing w:after="0" w:line="229" w:lineRule="exact"/>
        <w:rPr>
          <w:rFonts w:ascii="Times New Roman" w:cs="Times New Roman" w:eastAsia="Times New Roman" w:hAnsi="Times New Roman"/>
          <w:sz w:val="17"/>
          <w:szCs w:val="17"/>
          <w:color w:val="auto"/>
        </w:rPr>
      </w:pPr>
    </w:p>
    <w:p>
      <w:pPr>
        <w:ind w:left="620" w:hanging="307"/>
        <w:spacing w:after="0" w:line="262"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administer the Company's equity-based compensation plans, management incentive compensation plans and deferred compensation plans for the Senior Officers and make recommendations to the Board about amendments to such plans and the adoption of any new compensation plans for the Senior Officers;</w:t>
      </w:r>
    </w:p>
    <w:p>
      <w:pPr>
        <w:spacing w:after="0" w:line="184"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 to the Board any ownership guidelines for the Senior Officers, other executives and non-employee directors, and periodically assess these guidelines and recommend revisions as appropriate;</w:t>
      </w:r>
    </w:p>
    <w:p>
      <w:pPr>
        <w:spacing w:after="0" w:line="16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establish the Company's overall management compensation and benefits philosophy and policies;</w:t>
      </w:r>
    </w:p>
    <w:p>
      <w:pPr>
        <w:spacing w:after="0" w:line="229" w:lineRule="exact"/>
        <w:rPr>
          <w:rFonts w:ascii="Times New Roman" w:cs="Times New Roman" w:eastAsia="Times New Roman" w:hAnsi="Times New Roman"/>
          <w:sz w:val="17"/>
          <w:szCs w:val="17"/>
          <w:color w:val="auto"/>
        </w:rPr>
      </w:pPr>
    </w:p>
    <w:p>
      <w:pPr>
        <w:jc w:val="both"/>
        <w:ind w:left="620" w:right="100" w:hanging="307"/>
        <w:spacing w:after="0" w:line="262"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the “Compensation Discussion and Analysis” required to be included in the Company’s proxy statement and annual report on Form 10-K by the rules and regulations of the SEC with management, and produce a compensation committee report on executive compensation for inclusion in the Company’s annual proxy statement in accordance with the SEC proxy and disclosure rules;</w:t>
      </w:r>
    </w:p>
    <w:p>
      <w:pPr>
        <w:spacing w:after="0" w:line="184"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recommend to the Board for approval the frequency with which the Company will conduct say-on-pay votes, taking into account the results of the most recent stockholder advisory vote on frequency of say-on-pay votes required by Section 14A of the Exchange Act;</w:t>
      </w:r>
    </w:p>
    <w:p>
      <w:pPr>
        <w:spacing w:after="0" w:line="164" w:lineRule="exact"/>
        <w:rPr>
          <w:rFonts w:ascii="Times New Roman" w:cs="Times New Roman" w:eastAsia="Times New Roman" w:hAnsi="Times New Roman"/>
          <w:sz w:val="17"/>
          <w:szCs w:val="17"/>
          <w:color w:val="auto"/>
        </w:rPr>
      </w:pPr>
    </w:p>
    <w:p>
      <w:pPr>
        <w:ind w:left="620" w:right="300" w:hanging="307"/>
        <w:spacing w:after="0" w:line="271"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all Senior Officer employment contracts and other compensatory, severance and change-in-control arrangements for current and former Senior Officers;</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review periodically policies and procedures with respect to perquisites;</w:t>
      </w:r>
    </w:p>
    <w:p>
      <w:pPr>
        <w:spacing w:after="0" w:line="229" w:lineRule="exact"/>
        <w:rPr>
          <w:rFonts w:ascii="Times New Roman" w:cs="Times New Roman" w:eastAsia="Times New Roman" w:hAnsi="Times New Roman"/>
          <w:sz w:val="17"/>
          <w:szCs w:val="17"/>
          <w:color w:val="auto"/>
        </w:rPr>
      </w:pPr>
    </w:p>
    <w:p>
      <w:pPr>
        <w:ind w:left="620" w:right="20" w:hanging="307"/>
        <w:spacing w:after="0" w:line="262"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Company's incentive compensation arrangements to determine whether they encourage excessive risk-taking, review and discuss at least annually the relationship between risk management policies and practices and compensation, and evaluate compensation policies and practices that could mitigate any such risk;</w:t>
      </w:r>
    </w:p>
    <w:p>
      <w:pPr>
        <w:spacing w:after="0" w:line="184" w:lineRule="exact"/>
        <w:rPr>
          <w:rFonts w:ascii="Times New Roman" w:cs="Times New Roman" w:eastAsia="Times New Roman" w:hAnsi="Times New Roman"/>
          <w:sz w:val="17"/>
          <w:szCs w:val="17"/>
          <w:color w:val="auto"/>
        </w:rPr>
      </w:pPr>
    </w:p>
    <w:p>
      <w:pPr>
        <w:ind w:left="620" w:right="200" w:hanging="307"/>
        <w:spacing w:after="0" w:line="271"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Company’s human capital management strategies and matters related to talent attraction, development and retention, culture, inclusion and diversity;</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assess the adequacy of the committee's charter and submit any changes to the Board for approval on an annual basis;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minutes of the committee's meetings and report its actions and any recommendations to the Board on a periodic basis; and</w:t>
      </w:r>
    </w:p>
    <w:p>
      <w:pPr>
        <w:spacing w:after="0" w:line="229"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Annually perform, or participate in, an evaluation of the performance of the committee against the requirements of this Compensation Committee charter, the results of which shall be presented to the Board.</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20" w:firstLine="309"/>
        <w:spacing w:after="0" w:line="271" w:lineRule="auto"/>
        <w:rPr>
          <w:sz w:val="20"/>
          <w:szCs w:val="20"/>
          <w:color w:val="auto"/>
        </w:rPr>
      </w:pPr>
      <w:r>
        <w:rPr>
          <w:rFonts w:ascii="Times New Roman" w:cs="Times New Roman" w:eastAsia="Times New Roman" w:hAnsi="Times New Roman"/>
          <w:sz w:val="17"/>
          <w:szCs w:val="17"/>
          <w:color w:val="auto"/>
        </w:rPr>
        <w:t>During 2025, the Compensation Committee consisted of Brent Turner, John A. Deane, Devin O'Reilly (chair) and Andrew T. Kaplan, each of whom the Board has determined is independent under SEC and Nasdaq rules. The Compensation Committee met five times during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171" w:lineRule="exact"/>
        <w:rPr>
          <w:sz w:val="20"/>
          <w:szCs w:val="20"/>
          <w:color w:val="auto"/>
        </w:rPr>
      </w:pPr>
    </w:p>
    <w:p>
      <w:pPr>
        <w:ind w:firstLine="309"/>
        <w:spacing w:after="0" w:line="248" w:lineRule="auto"/>
        <w:rPr>
          <w:sz w:val="20"/>
          <w:szCs w:val="20"/>
          <w:color w:val="auto"/>
        </w:rPr>
      </w:pPr>
      <w:r>
        <w:rPr>
          <w:rFonts w:ascii="Times New Roman" w:cs="Times New Roman" w:eastAsia="Times New Roman" w:hAnsi="Times New Roman"/>
          <w:sz w:val="17"/>
          <w:szCs w:val="17"/>
          <w:color w:val="auto"/>
        </w:rPr>
        <w:t>The purpose of the Governance Committee is to (i) identify and recommend individuals qualified to serve as directors of the Company, (ii) review the composition of the Board, (iii) review performance of Board members, (iv) review senior management succession plans, (v) assist the Board in the oversight of environmental, social and governance (“ESG”) matters, (vi) monitor significant developments in the law and practice of corporate governance and of the duties and responsibilities of directors of public companies, and (vii) carry out such other responsibilities delegated by the Board relating to the Company’s director nominations process and procedures and governance matters. Our Board has adopted a written charter under which the Governance Committee operates. A copy of the Governance Committee charter is available on the "Investors - Governance" page of our website at www.surgerypartners.com. The Governance Committee periodically reviews and assesses the adequacy of its charter.</w:t>
      </w:r>
    </w:p>
    <w:p>
      <w:pPr>
        <w:spacing w:after="0" w:line="197" w:lineRule="exact"/>
        <w:rPr>
          <w:sz w:val="20"/>
          <w:szCs w:val="20"/>
          <w:color w:val="auto"/>
        </w:rPr>
      </w:pPr>
    </w:p>
    <w:p>
      <w:pPr>
        <w:ind w:right="300" w:firstLine="309"/>
        <w:spacing w:after="0" w:line="262" w:lineRule="auto"/>
        <w:rPr>
          <w:sz w:val="20"/>
          <w:szCs w:val="20"/>
          <w:color w:val="auto"/>
        </w:rPr>
      </w:pPr>
      <w:r>
        <w:rPr>
          <w:rFonts w:ascii="Times New Roman" w:cs="Times New Roman" w:eastAsia="Times New Roman" w:hAnsi="Times New Roman"/>
          <w:sz w:val="17"/>
          <w:szCs w:val="17"/>
          <w:color w:val="auto"/>
        </w:rPr>
        <w:t>During 2025, the Governance Committee consisted of Patricia A. Maryland, Dr.PH (until her death in October 2025), Laura L. Forese, M.D. (beginning in October 2025), Devin O'Reilly and Blair E. Hendrix (chair), each of whom the Board has determined is independent under SEC and Nasdaq rules. The Governance Committee met two times during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Compliance and Ethics Committee</w:t>
      </w:r>
    </w:p>
    <w:p>
      <w:pPr>
        <w:spacing w:after="0" w:line="171" w:lineRule="exact"/>
        <w:rPr>
          <w:sz w:val="20"/>
          <w:szCs w:val="20"/>
          <w:color w:val="auto"/>
        </w:rPr>
      </w:pPr>
    </w:p>
    <w:p>
      <w:pPr>
        <w:ind w:firstLine="309"/>
        <w:spacing w:after="0" w:line="247" w:lineRule="auto"/>
        <w:rPr>
          <w:sz w:val="20"/>
          <w:szCs w:val="20"/>
          <w:color w:val="auto"/>
        </w:rPr>
      </w:pPr>
      <w:r>
        <w:rPr>
          <w:rFonts w:ascii="Times New Roman" w:cs="Times New Roman" w:eastAsia="Times New Roman" w:hAnsi="Times New Roman"/>
          <w:sz w:val="17"/>
          <w:szCs w:val="17"/>
          <w:color w:val="auto"/>
        </w:rPr>
        <w:t>The purpose of the Compliance and Ethics Committee is to assist the Board in discharging its responsibilities relating to our compliance with laws, regulations, internal procedures and industry standards that may cause significant business, regulatory, or reputational damage to us, as well as legal and business trends and public policy issues. The Compliance and Ethics Committee, among other things, oversees the activities of, and receives regular reports from, our Chief Compliance Officer, and reports to the Board on the effectiveness of the Company’s compliance, ethics and clinical quality programs. Our Board has adopted a written charter under which the Compliance and Ethics Committee operates. A copy of the Compliance and Ethics Committee charter is available on the "Investors</w:t>
      </w:r>
    </w:p>
    <w:p>
      <w:pPr>
        <w:spacing w:after="0" w:line="4" w:lineRule="exact"/>
        <w:rPr>
          <w:sz w:val="20"/>
          <w:szCs w:val="20"/>
          <w:color w:val="auto"/>
        </w:rPr>
      </w:pPr>
    </w:p>
    <w:p>
      <w:pPr>
        <w:ind w:right="360" w:firstLine="3"/>
        <w:spacing w:after="0" w:line="250" w:lineRule="auto"/>
        <w:tabs>
          <w:tab w:leader="none" w:pos="1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Governance" page of our website at www.surgerypartners.com. The Compliance and Ethics Committee periodically reviews and assesses the adequacy of its charter.</w:t>
      </w:r>
    </w:p>
    <w:p>
      <w:pPr>
        <w:spacing w:after="0" w:line="182" w:lineRule="exact"/>
        <w:rPr>
          <w:sz w:val="20"/>
          <w:szCs w:val="20"/>
          <w:color w:val="auto"/>
        </w:rPr>
      </w:pPr>
    </w:p>
    <w:p>
      <w:pPr>
        <w:ind w:right="20" w:firstLine="309"/>
        <w:spacing w:after="0" w:line="271" w:lineRule="auto"/>
        <w:rPr>
          <w:sz w:val="20"/>
          <w:szCs w:val="20"/>
          <w:color w:val="auto"/>
        </w:rPr>
      </w:pPr>
      <w:r>
        <w:rPr>
          <w:rFonts w:ascii="Times New Roman" w:cs="Times New Roman" w:eastAsia="Times New Roman" w:hAnsi="Times New Roman"/>
          <w:sz w:val="17"/>
          <w:szCs w:val="17"/>
          <w:color w:val="auto"/>
        </w:rPr>
        <w:t>During 2025, the Compliance and Ethics Committee consisted of Teresa DeLuca, M.D. (chair), Patricia A. Maryland, Dr.PH (until her death in October 2025), Clifford G. Adlerz and Laura L. Forese, M.D. The Compliance and Ethics Committee met four times during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34" w:lineRule="exact"/>
        <w:rPr>
          <w:sz w:val="20"/>
          <w:szCs w:val="20"/>
          <w:color w:val="auto"/>
        </w:rPr>
      </w:pPr>
    </w:p>
    <w:p>
      <w:pPr>
        <w:ind w:right="40" w:firstLine="309"/>
        <w:spacing w:after="0" w:line="250" w:lineRule="auto"/>
        <w:rPr>
          <w:sz w:val="20"/>
          <w:szCs w:val="20"/>
          <w:color w:val="auto"/>
        </w:rPr>
      </w:pPr>
      <w:r>
        <w:rPr>
          <w:rFonts w:ascii="Times New Roman" w:cs="Times New Roman" w:eastAsia="Times New Roman" w:hAnsi="Times New Roman"/>
          <w:sz w:val="17"/>
          <w:szCs w:val="17"/>
          <w:color w:val="auto"/>
        </w:rPr>
        <w:t>No member of our Compensation Committee is or has at any time during the past year been an officer or employee of ours or any of our subsidiaries. None of our executive officers currently serves or in the past year has served as a member of the board of directors or compensation committee of any entity that has one or more executive officers serving on our Board or Compensation Committee. Our CEO has participated in discussions related to compensation of certain of our executive officers, but has not participated in any discussions regarding his own compensation. We have also retained a compensation consultant since our initial public offering to review the compensation of executive officers at peer group companies and assist in benchmarking appropriate compensation of our executive officers on a forward-looking basis.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Officer and Director Hedging</w:t>
      </w:r>
    </w:p>
    <w:p>
      <w:pPr>
        <w:spacing w:after="0" w:line="247" w:lineRule="exact"/>
        <w:rPr>
          <w:sz w:val="20"/>
          <w:szCs w:val="20"/>
          <w:color w:val="auto"/>
        </w:rPr>
      </w:pPr>
    </w:p>
    <w:p>
      <w:pPr>
        <w:ind w:firstLine="309"/>
        <w:spacing w:after="0" w:line="247" w:lineRule="auto"/>
        <w:rPr>
          <w:sz w:val="20"/>
          <w:szCs w:val="20"/>
          <w:color w:val="auto"/>
        </w:rPr>
      </w:pPr>
      <w:r>
        <w:rPr>
          <w:rFonts w:ascii="Times New Roman" w:cs="Times New Roman" w:eastAsia="Times New Roman" w:hAnsi="Times New Roman"/>
          <w:sz w:val="17"/>
          <w:szCs w:val="17"/>
          <w:color w:val="auto"/>
        </w:rPr>
        <w:t>The Company’s Insider Trading Policy expressly prohibits our employees, officers or directors from engaging in transactions that involve the purchase of financial instruments, including prepaid variable forward contracts, instruments for the short sale or purchase or sale of call or put options, equity swaps, collars, or units of exchangeable funds, that are designed to or that may reasonably be expected to have the effect of hedging or offsetting a decrease in the market value of any securities of the Company. In addition, all of our employees, officers and directors are subject to the Company's Code of Conduct, which includes conflicts of interest provisions broadly prohibiting actions or activities that involve obtaining improper personal gain or advantage, or adversely affecting the interests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Ownership Guidelines</w:t>
      </w:r>
    </w:p>
    <w:p>
      <w:pPr>
        <w:spacing w:after="0" w:line="234" w:lineRule="exact"/>
        <w:rPr>
          <w:sz w:val="20"/>
          <w:szCs w:val="20"/>
          <w:color w:val="auto"/>
        </w:rPr>
      </w:pPr>
    </w:p>
    <w:p>
      <w:pPr>
        <w:ind w:right="280" w:firstLine="309"/>
        <w:spacing w:after="0" w:line="271" w:lineRule="auto"/>
        <w:rPr>
          <w:sz w:val="20"/>
          <w:szCs w:val="20"/>
          <w:color w:val="auto"/>
        </w:rPr>
      </w:pPr>
      <w:r>
        <w:rPr>
          <w:rFonts w:ascii="Times New Roman" w:cs="Times New Roman" w:eastAsia="Times New Roman" w:hAnsi="Times New Roman"/>
          <w:sz w:val="17"/>
          <w:szCs w:val="17"/>
          <w:color w:val="auto"/>
        </w:rPr>
        <w:t>The Compensation Committee adopted share ownership and retention guidelines applicable to the Company’s named executive officers and non-employee directors. Please refer to "Compensation Discussion and Analysis -- Compensation Policies and Practices" for more information.</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PROPOSAL NO. 2: ADVISORY VOTE ON EXECUTIVE COMPENSATION</w:t>
      </w:r>
    </w:p>
    <w:p>
      <w:pPr>
        <w:spacing w:after="0" w:line="221" w:lineRule="exact"/>
        <w:rPr>
          <w:sz w:val="20"/>
          <w:szCs w:val="20"/>
          <w:color w:val="auto"/>
        </w:rPr>
      </w:pPr>
    </w:p>
    <w:p>
      <w:pPr>
        <w:ind w:firstLine="309"/>
        <w:spacing w:after="0" w:line="254" w:lineRule="auto"/>
        <w:rPr>
          <w:sz w:val="20"/>
          <w:szCs w:val="20"/>
          <w:color w:val="auto"/>
        </w:rPr>
      </w:pPr>
      <w:r>
        <w:rPr>
          <w:rFonts w:ascii="Times New Roman" w:cs="Times New Roman" w:eastAsia="Times New Roman" w:hAnsi="Times New Roman"/>
          <w:sz w:val="17"/>
          <w:szCs w:val="17"/>
          <w:color w:val="auto"/>
        </w:rPr>
        <w:t>In accordance with Section 14A of the Exchange Act, the Board is asking stockholders to approve a non-binding, advisory resolution on the compensation of the Company's executive officers who are named in the Summary Compensation Table appearing in this Proxy Statement (our "named executive officers" or "NEOs"). The compensation of our named executive officers is described in the "Compensation Discussion and Analysis" and "Executive Compensation" sections of this Proxy Statement.</w:t>
      </w:r>
    </w:p>
    <w:p>
      <w:pPr>
        <w:spacing w:after="0" w:line="191" w:lineRule="exact"/>
        <w:rPr>
          <w:sz w:val="20"/>
          <w:szCs w:val="20"/>
          <w:color w:val="auto"/>
        </w:rPr>
      </w:pPr>
    </w:p>
    <w:p>
      <w:pPr>
        <w:jc w:val="both"/>
        <w:ind w:right="20" w:firstLine="309"/>
        <w:spacing w:after="0" w:line="262" w:lineRule="auto"/>
        <w:rPr>
          <w:sz w:val="20"/>
          <w:szCs w:val="20"/>
          <w:color w:val="auto"/>
        </w:rPr>
      </w:pPr>
      <w:r>
        <w:rPr>
          <w:rFonts w:ascii="Times New Roman" w:cs="Times New Roman" w:eastAsia="Times New Roman" w:hAnsi="Times New Roman"/>
          <w:sz w:val="17"/>
          <w:szCs w:val="17"/>
          <w:color w:val="auto"/>
        </w:rPr>
        <w:t>The compensation program for our named executive officers is designed to attract and retain highly qualified individuals and to motivate and reward them for performance that benefits Surgery Partners and its stockholders. The Compensation Committee and the Board believe that the policies and procedures detailed in "Compensation Discussion and Analysis" achieve these goals.</w:t>
      </w:r>
    </w:p>
    <w:p>
      <w:pPr>
        <w:spacing w:after="0" w:line="185" w:lineRule="exact"/>
        <w:rPr>
          <w:sz w:val="20"/>
          <w:szCs w:val="20"/>
          <w:color w:val="auto"/>
        </w:rPr>
      </w:pPr>
    </w:p>
    <w:p>
      <w:pPr>
        <w:ind w:right="100" w:firstLine="309"/>
        <w:spacing w:after="0" w:line="262" w:lineRule="auto"/>
        <w:rPr>
          <w:sz w:val="20"/>
          <w:szCs w:val="20"/>
          <w:color w:val="auto"/>
        </w:rPr>
      </w:pPr>
      <w:r>
        <w:rPr>
          <w:rFonts w:ascii="Times New Roman" w:cs="Times New Roman" w:eastAsia="Times New Roman" w:hAnsi="Times New Roman"/>
          <w:sz w:val="17"/>
          <w:szCs w:val="17"/>
          <w:color w:val="auto"/>
        </w:rPr>
        <w:t>This advisory resolution, commonly referred to as a "Say-On-Pay" resolution, is non-binding on the Board. Although non-binding, the Board and the Compensation Committee value the views of the Company's stockholders and will review and consider the voting results when (i) evaluating the effectiveness of the Company's compensation policies and practices and (ii) making future compensation decisions for our named executive officers.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requesting your vote on the following resolution:</w:t>
      </w:r>
    </w:p>
    <w:p>
      <w:pPr>
        <w:spacing w:after="0" w:line="243" w:lineRule="exact"/>
        <w:rPr>
          <w:sz w:val="20"/>
          <w:szCs w:val="20"/>
          <w:color w:val="auto"/>
        </w:rPr>
      </w:pPr>
    </w:p>
    <w:p>
      <w:pPr>
        <w:ind w:right="80" w:firstLine="309"/>
        <w:spacing w:after="0" w:line="254" w:lineRule="auto"/>
        <w:rPr>
          <w:sz w:val="20"/>
          <w:szCs w:val="20"/>
          <w:color w:val="auto"/>
        </w:rPr>
      </w:pPr>
      <w:r>
        <w:rPr>
          <w:rFonts w:ascii="Times New Roman" w:cs="Times New Roman" w:eastAsia="Times New Roman" w:hAnsi="Times New Roman"/>
          <w:sz w:val="17"/>
          <w:szCs w:val="17"/>
          <w:color w:val="auto"/>
        </w:rPr>
        <w:t>"RESOLVED, that the Company's stockholders approve, on an advisory basis, the compensation of the named executive officers, as disclosed in the Company's Proxy Statement for the 2026 annual meeting of stockholders pursuant to the compensation disclosure rules of the SEC, including the "Compensation Discussion and Analysis" and "Executive Compensation" sections and the other related tables and disclosure."</w:t>
      </w:r>
    </w:p>
    <w:p>
      <w:pPr>
        <w:spacing w:after="0" w:line="200" w:lineRule="exact"/>
        <w:rPr>
          <w:sz w:val="20"/>
          <w:szCs w:val="20"/>
          <w:color w:val="auto"/>
        </w:rPr>
      </w:pPr>
    </w:p>
    <w:p>
      <w:pPr>
        <w:jc w:val="center"/>
        <w:ind w:left="380" w:right="420"/>
        <w:spacing w:after="0" w:line="276" w:lineRule="auto"/>
        <w:rPr>
          <w:sz w:val="20"/>
          <w:szCs w:val="20"/>
          <w:color w:val="auto"/>
        </w:rPr>
      </w:pPr>
      <w:r>
        <w:rPr>
          <w:rFonts w:ascii="Times New Roman" w:cs="Times New Roman" w:eastAsia="Times New Roman" w:hAnsi="Times New Roman"/>
          <w:sz w:val="17"/>
          <w:szCs w:val="17"/>
          <w:b w:val="1"/>
          <w:bCs w:val="1"/>
          <w:color w:val="auto"/>
        </w:rPr>
        <w:t>THE BOARD UNANIMOUSLY RECOMMENDS THAT YOU VOTE "FOR" THE APPROVAL OF THE ADVISORY RESOLUTION ON EXECUTIVE COMPENSATION.</w:t>
      </w: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4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color w:val="auto"/>
              </w:rPr>
              <w:t>EXECUTIVE OFFICERS</w:t>
            </w:r>
          </w:p>
        </w:tc>
      </w:tr>
      <w:tr>
        <w:trPr>
          <w:trHeight w:val="490"/>
        </w:trPr>
        <w:tc>
          <w:tcPr>
            <w:tcW w:w="2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6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Age</w:t>
            </w:r>
          </w:p>
        </w:tc>
        <w:tc>
          <w:tcPr>
            <w:tcW w:w="764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38"/>
        </w:trPr>
        <w:tc>
          <w:tcPr>
            <w:tcW w:w="2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r>
      <w:tr>
        <w:trPr>
          <w:trHeight w:val="251"/>
        </w:trPr>
        <w:tc>
          <w:tcPr>
            <w:tcW w:w="2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J. Eric Evans</w:t>
            </w:r>
          </w:p>
        </w:tc>
        <w:tc>
          <w:tcPr>
            <w:tcW w:w="1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48</w:t>
            </w:r>
          </w:p>
        </w:tc>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Chief Executive Officer and Class III Director</w:t>
            </w:r>
          </w:p>
        </w:tc>
      </w:tr>
      <w:tr>
        <w:trPr>
          <w:trHeight w:val="258"/>
        </w:trPr>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David T. Doherty</w:t>
            </w:r>
          </w:p>
        </w:tc>
        <w:tc>
          <w:tcPr>
            <w:tcW w:w="13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53</w:t>
            </w:r>
          </w:p>
        </w:tc>
        <w:tc>
          <w:tcPr>
            <w:tcW w:w="76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58"/>
        </w:trPr>
        <w:tc>
          <w:tcPr>
            <w:tcW w:w="2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Jennifer B. Baldock</w:t>
            </w:r>
          </w:p>
        </w:tc>
        <w:tc>
          <w:tcPr>
            <w:tcW w:w="1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55</w:t>
            </w:r>
          </w:p>
        </w:tc>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Executive Vice President, Chief Administrative and Development Officer</w:t>
            </w:r>
          </w:p>
        </w:tc>
      </w:tr>
      <w:tr>
        <w:trPr>
          <w:trHeight w:val="219"/>
        </w:trPr>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Marissa A. Brittenham</w:t>
            </w:r>
          </w:p>
        </w:tc>
        <w:tc>
          <w:tcPr>
            <w:tcW w:w="13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41</w:t>
            </w:r>
          </w:p>
        </w:tc>
        <w:tc>
          <w:tcPr>
            <w:tcW w:w="76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Executive Vice President and Chief Strategy Officer</w:t>
            </w:r>
          </w:p>
        </w:tc>
      </w:tr>
      <w:tr>
        <w:trPr>
          <w:trHeight w:val="258"/>
        </w:trPr>
        <w:tc>
          <w:tcPr>
            <w:tcW w:w="2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Danielle Burkhalter</w:t>
            </w:r>
          </w:p>
        </w:tc>
        <w:tc>
          <w:tcPr>
            <w:tcW w:w="1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41</w:t>
            </w:r>
          </w:p>
        </w:tc>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Executive Vice President and Chief Human Resources Officer</w:t>
            </w:r>
          </w:p>
        </w:tc>
      </w:tr>
      <w:tr>
        <w:trPr>
          <w:trHeight w:val="223"/>
        </w:trPr>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Justin Oppenheimer</w:t>
            </w:r>
          </w:p>
        </w:tc>
        <w:tc>
          <w:tcPr>
            <w:tcW w:w="13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41</w:t>
            </w:r>
          </w:p>
        </w:tc>
        <w:tc>
          <w:tcPr>
            <w:tcW w:w="76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Executive Vice President, Chief Operating Officer and President, National Group</w:t>
            </w:r>
          </w:p>
        </w:tc>
      </w:tr>
    </w:tbl>
    <w:p>
      <w:pPr>
        <w:spacing w:after="0" w:line="208" w:lineRule="exact"/>
        <w:rPr>
          <w:sz w:val="20"/>
          <w:szCs w:val="20"/>
          <w:color w:val="auto"/>
        </w:rPr>
      </w:pPr>
    </w:p>
    <w:p>
      <w:pPr>
        <w:ind w:right="180"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J. Eric Evans </w:t>
      </w:r>
      <w:r>
        <w:rPr>
          <w:rFonts w:ascii="Times New Roman" w:cs="Times New Roman" w:eastAsia="Times New Roman" w:hAnsi="Times New Roman"/>
          <w:sz w:val="17"/>
          <w:szCs w:val="17"/>
          <w:color w:val="auto"/>
        </w:rPr>
        <w:t>has served as Chief Executive Officer and director of Surgery Partners since January 2020. Mr. Evans’ biography is included elsewhere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Proxy Statement under the heading "Proposal No. 1: Election of Directors - Directors Continuing in Office."</w:t>
      </w:r>
    </w:p>
    <w:p>
      <w:pPr>
        <w:spacing w:after="0" w:line="156" w:lineRule="exact"/>
        <w:rPr>
          <w:sz w:val="20"/>
          <w:szCs w:val="20"/>
          <w:color w:val="auto"/>
        </w:rPr>
      </w:pPr>
    </w:p>
    <w:p>
      <w:pPr>
        <w:ind w:right="60" w:firstLine="309"/>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David T. Doherty </w:t>
      </w:r>
      <w:r>
        <w:rPr>
          <w:rFonts w:ascii="Times New Roman" w:cs="Times New Roman" w:eastAsia="Times New Roman" w:hAnsi="Times New Roman"/>
          <w:sz w:val="17"/>
          <w:szCs w:val="17"/>
          <w:color w:val="auto"/>
        </w:rPr>
        <w:t>has served as our Executive Vice President and Chief Financial Officer since February 2022. Previously, Mr. Doherty was our Senior 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President of Corporate Finance and Controller. Prior to joining Surgery Partners in 2018, Mr. Doherty held various senior financial management roles at Aetna Inc., including leading Aetna’s internal audit organization, planning and risk management, and serving as Aetna’s assistant controller. Mr. Doherty earned his CPA while working at Arthur Andersen, LLP. Mr. Doherty holds a bachelor's degree in Accounting from the University of Connecticut.</w:t>
      </w:r>
    </w:p>
    <w:p>
      <w:pPr>
        <w:spacing w:after="0" w:line="1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i w:val="1"/>
          <w:iCs w:val="1"/>
          <w:color w:val="auto"/>
        </w:rPr>
        <w:t xml:space="preserve">Jennifer B. Baldock </w:t>
      </w:r>
      <w:r>
        <w:rPr>
          <w:rFonts w:ascii="Times New Roman" w:cs="Times New Roman" w:eastAsia="Times New Roman" w:hAnsi="Times New Roman"/>
          <w:sz w:val="17"/>
          <w:szCs w:val="17"/>
          <w:color w:val="auto"/>
        </w:rPr>
        <w:t>has served as our Executive Vice President and Chief Administrative and Development Officer since February 2020. Previously, Ms.</w:t>
      </w:r>
    </w:p>
    <w:p>
      <w:pPr>
        <w:spacing w:after="0" w:line="3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Baldock served as our Executive Vice President and Chief Legal Officer from May 2018 to February 2020 and, prior to that, Ms. Baldock served in various senior management roles for both Surgery Partners, Inc. and Symbion, Inc. prior to our acquisition of Symbion in November 2014. Prior to joining Symbion in 2010, she served as Assistant General Counsel for both Ambulatory Services of America and Renal Care Group. Prior to that, Ms. Baldock practiced law with Waller Lansden Dortch and Davis in Nashville, Tennessee, concentrating in corporate law with an emphasis on healthcare mergers and acquisitions. She is also a Certified Public Accountant (inactive). Ms. Baldock holds a B.A. in Economics and Accounting from Lipscomb University and a J.D. from the University of Alabama.</w:t>
      </w:r>
    </w:p>
    <w:p>
      <w:pPr>
        <w:spacing w:after="0" w:line="197" w:lineRule="exact"/>
        <w:rPr>
          <w:sz w:val="20"/>
          <w:szCs w:val="20"/>
          <w:color w:val="auto"/>
        </w:rPr>
      </w:pPr>
    </w:p>
    <w:p>
      <w:pPr>
        <w:ind w:right="180" w:firstLine="309"/>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Marissa A. Brittenham </w:t>
      </w:r>
      <w:r>
        <w:rPr>
          <w:rFonts w:ascii="Times New Roman" w:cs="Times New Roman" w:eastAsia="Times New Roman" w:hAnsi="Times New Roman"/>
          <w:sz w:val="17"/>
          <w:szCs w:val="17"/>
          <w:color w:val="auto"/>
        </w:rPr>
        <w:t>has served as our Executive Vice President and Chief Strategy Officer since January 2022. Previously, Ms. Brittenham led Growth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Cityblock Health and Medicaid Partnerships at Evolent Health (NYSE: EVH) and was an Associate Partner at McKinsey &amp; Company. She received a bachelor’s degree in Ethics, Politics and Economics from Yale University and earned her JD/ MBA from University of Pennsylvania Carey Law School and the Wharton School.</w:t>
      </w:r>
    </w:p>
    <w:p>
      <w:pPr>
        <w:spacing w:after="0" w:line="201" w:lineRule="exact"/>
        <w:rPr>
          <w:sz w:val="20"/>
          <w:szCs w:val="20"/>
          <w:color w:val="auto"/>
        </w:rPr>
      </w:pPr>
    </w:p>
    <w:p>
      <w:pPr>
        <w:ind w:right="100" w:firstLine="309"/>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Danielle Burkhalter </w:t>
      </w:r>
      <w:r>
        <w:rPr>
          <w:rFonts w:ascii="Times New Roman" w:cs="Times New Roman" w:eastAsia="Times New Roman" w:hAnsi="Times New Roman"/>
          <w:sz w:val="17"/>
          <w:szCs w:val="17"/>
          <w:color w:val="auto"/>
        </w:rPr>
        <w:t>has served as Chief Human Resources Officer since February 2023 and became an Executive Vice President in March 2024. Prior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role, Ms. Burkhalter was our Vice President of Talent leading talent initiatives across the Company. Prior to joining Surgery Partners in 2018, Ms. Burkhalter held various Human Resources roles at UnityPoint Health, one of the nation’s most integrated health systems with numerous clinics, hospitals and home care areas of service in metropolitan and rural communities throughout Iowa, Illinois, and Wisconsin. Ms. Burkhalter graduated from Simpson College and earned her master’s from The University of Alabama.</w:t>
      </w:r>
    </w:p>
    <w:p>
      <w:pPr>
        <w:spacing w:after="0" w:line="190" w:lineRule="exact"/>
        <w:rPr>
          <w:sz w:val="20"/>
          <w:szCs w:val="20"/>
          <w:color w:val="auto"/>
        </w:rPr>
      </w:pPr>
    </w:p>
    <w:p>
      <w:pPr>
        <w:ind w:right="20" w:firstLine="309"/>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Justin Oppenheimer </w:t>
      </w:r>
      <w:r>
        <w:rPr>
          <w:rFonts w:ascii="Times New Roman" w:cs="Times New Roman" w:eastAsia="Times New Roman" w:hAnsi="Times New Roman"/>
          <w:sz w:val="17"/>
          <w:szCs w:val="17"/>
          <w:color w:val="auto"/>
        </w:rPr>
        <w:t>has served as our Executive Vice President, Chief Operating Officer and National Group President since January 2026. Prior to joining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Surgery Partners, Mr. Oppenheimer held various leadership roles, including Chief Strategy Officer and Chief Operating Officer, at the Hospital for Special Surgery from 2013 to January 2026. Mr. Oppenheimer also serves on the Board of Directors for Urban Dove, a New York-based charter school management organization. Mr. Oppenheimer previously served as a director of RightMove Health from December 2023 to January 2026. Mr. Oppenheimer holds a B.A. degree in political economy from Princeton University, and an MBA from Harvard Business School.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47" w:lineRule="exact"/>
        <w:rPr>
          <w:sz w:val="20"/>
          <w:szCs w:val="20"/>
          <w:color w:val="auto"/>
        </w:rPr>
      </w:pPr>
    </w:p>
    <w:p>
      <w:pPr>
        <w:ind w:right="20" w:firstLine="309"/>
        <w:spacing w:after="0" w:line="271" w:lineRule="auto"/>
        <w:rPr>
          <w:sz w:val="20"/>
          <w:szCs w:val="20"/>
          <w:color w:val="auto"/>
        </w:rPr>
      </w:pPr>
      <w:r>
        <w:rPr>
          <w:rFonts w:ascii="Times New Roman" w:cs="Times New Roman" w:eastAsia="Times New Roman" w:hAnsi="Times New Roman"/>
          <w:sz w:val="17"/>
          <w:szCs w:val="17"/>
          <w:color w:val="auto"/>
        </w:rPr>
        <w:t>This Compensation Discussion and Analysis ("CD&amp;A") is designed to provide an overview of our compensation philosophy and objectives, our compensation programs, and our decision making processes as they relate to our named executive officers for the year ended December 31, 2025.</w:t>
      </w:r>
    </w:p>
    <w:p>
      <w:pPr>
        <w:spacing w:after="0" w:line="190" w:lineRule="exact"/>
        <w:rPr>
          <w:sz w:val="20"/>
          <w:szCs w:val="20"/>
          <w:color w:val="auto"/>
        </w:rPr>
      </w:pPr>
    </w:p>
    <w:p>
      <w:pPr>
        <w:ind w:right="380" w:firstLine="309"/>
        <w:spacing w:after="0" w:line="271" w:lineRule="auto"/>
        <w:rPr>
          <w:sz w:val="20"/>
          <w:szCs w:val="20"/>
          <w:color w:val="auto"/>
        </w:rPr>
      </w:pPr>
      <w:r>
        <w:rPr>
          <w:rFonts w:ascii="Times New Roman" w:cs="Times New Roman" w:eastAsia="Times New Roman" w:hAnsi="Times New Roman"/>
          <w:sz w:val="17"/>
          <w:szCs w:val="17"/>
          <w:color w:val="auto"/>
        </w:rPr>
        <w:t>This discussion is intended to, among other things, help our stockholders understand the information provided in the compensation tables included in this Proxy Statement, and to put that information in the context of our overall compensation program for our NEOs.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Pursuant to SEC rules, our NEOs for 2025 were: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880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38"/>
        </w:trPr>
        <w:tc>
          <w:tcPr>
            <w:tcW w:w="2440" w:type="dxa"/>
            <w:vAlign w:val="bottom"/>
            <w:tcBorders>
              <w:bottom w:val="single" w:sz="8" w:color="auto"/>
            </w:tcBorders>
          </w:tcPr>
          <w:p>
            <w:pPr>
              <w:spacing w:after="0"/>
              <w:rPr>
                <w:sz w:val="3"/>
                <w:szCs w:val="3"/>
                <w:color w:val="auto"/>
              </w:rPr>
            </w:pPr>
          </w:p>
        </w:tc>
        <w:tc>
          <w:tcPr>
            <w:tcW w:w="8800" w:type="dxa"/>
            <w:vAlign w:val="bottom"/>
            <w:tcBorders>
              <w:bottom w:val="single" w:sz="8" w:color="auto"/>
            </w:tcBorders>
          </w:tcPr>
          <w:p>
            <w:pPr>
              <w:spacing w:after="0"/>
              <w:rPr>
                <w:sz w:val="3"/>
                <w:szCs w:val="3"/>
                <w:color w:val="auto"/>
              </w:rPr>
            </w:pPr>
          </w:p>
        </w:tc>
      </w:tr>
      <w:tr>
        <w:trPr>
          <w:trHeight w:val="231"/>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J. Eric Evans</w:t>
            </w:r>
          </w:p>
        </w:tc>
        <w:tc>
          <w:tcPr>
            <w:tcW w:w="8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19"/>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David T. Doherty</w:t>
            </w:r>
          </w:p>
        </w:tc>
        <w:tc>
          <w:tcPr>
            <w:tcW w:w="8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38"/>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Jennifer B. Baldock</w:t>
            </w:r>
          </w:p>
        </w:tc>
        <w:tc>
          <w:tcPr>
            <w:tcW w:w="8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Executive Vice President, Chief Administrative and Development Officer</w:t>
            </w:r>
          </w:p>
        </w:tc>
      </w:tr>
      <w:tr>
        <w:trPr>
          <w:trHeight w:val="219"/>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Marissa A. Brittenham</w:t>
            </w:r>
          </w:p>
        </w:tc>
        <w:tc>
          <w:tcPr>
            <w:tcW w:w="8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Executive Vice President and Chief Strategy Officer</w:t>
            </w:r>
          </w:p>
        </w:tc>
      </w:tr>
      <w:tr>
        <w:trPr>
          <w:trHeight w:val="219"/>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 Trent Webb</w:t>
            </w:r>
          </w:p>
        </w:tc>
        <w:tc>
          <w:tcPr>
            <w:tcW w:w="8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President, American Group</w:t>
            </w:r>
          </w:p>
        </w:tc>
      </w:tr>
      <w:tr>
        <w:trPr>
          <w:trHeight w:val="29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Harrison R. Bane </w:t>
            </w:r>
            <w:r>
              <w:rPr>
                <w:rFonts w:ascii="Times New Roman" w:cs="Times New Roman" w:eastAsia="Times New Roman" w:hAnsi="Times New Roman"/>
                <w:sz w:val="22"/>
                <w:szCs w:val="22"/>
                <w:color w:val="auto"/>
                <w:vertAlign w:val="superscript"/>
              </w:rPr>
              <w:t>(1)</w:t>
            </w:r>
          </w:p>
        </w:tc>
        <w:tc>
          <w:tcPr>
            <w:tcW w:w="8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Former President, National Group</w:t>
            </w: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_______</w:t>
            </w:r>
          </w:p>
        </w:tc>
        <w:tc>
          <w:tcPr>
            <w:tcW w:w="8800" w:type="dxa"/>
            <w:vAlign w:val="bottom"/>
          </w:tcPr>
          <w:p>
            <w:pPr>
              <w:spacing w:after="0"/>
              <w:rPr>
                <w:sz w:val="19"/>
                <w:szCs w:val="19"/>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Mr. Bane resigned as our President, National Group effective October 3,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of 2025 Company Performance</w:t>
      </w:r>
    </w:p>
    <w:p>
      <w:pPr>
        <w:spacing w:after="0" w:line="157" w:lineRule="exact"/>
        <w:rPr>
          <w:sz w:val="20"/>
          <w:szCs w:val="20"/>
          <w:color w:val="auto"/>
        </w:rPr>
      </w:pPr>
    </w:p>
    <w:p>
      <w:pPr>
        <w:ind w:right="180" w:firstLine="309"/>
        <w:spacing w:after="0" w:line="248" w:lineRule="auto"/>
        <w:rPr>
          <w:sz w:val="20"/>
          <w:szCs w:val="20"/>
          <w:color w:val="auto"/>
        </w:rPr>
      </w:pPr>
      <w:r>
        <w:rPr>
          <w:rFonts w:ascii="Times New Roman" w:cs="Times New Roman" w:eastAsia="Times New Roman" w:hAnsi="Times New Roman"/>
          <w:sz w:val="17"/>
          <w:szCs w:val="17"/>
          <w:color w:val="auto"/>
        </w:rPr>
        <w:t>The following summary of the Company's performance is intended to provide additional context for the compensation of the NEOs in 2025. We ended 2025 and entered 2026 with unanticipated headwinds that culminated in 2025 results that did not meet our expectations. We continue to have confidence in the Company's long-term growth potential and believe our NEOs are instrumental in proactively strengthening our performance, guiding the Company to capture momentum in the market and shaping a plan that will best position us for continued growth in 2026 and beyond.</w:t>
      </w:r>
    </w:p>
    <w:p>
      <w:pPr>
        <w:spacing w:after="0" w:line="210" w:lineRule="exact"/>
        <w:rPr>
          <w:sz w:val="20"/>
          <w:szCs w:val="20"/>
          <w:color w:val="auto"/>
        </w:rPr>
      </w:pPr>
    </w:p>
    <w:p>
      <w:pPr>
        <w:ind w:right="40" w:firstLine="309"/>
        <w:spacing w:after="0" w:line="271" w:lineRule="auto"/>
        <w:rPr>
          <w:sz w:val="20"/>
          <w:szCs w:val="20"/>
          <w:color w:val="auto"/>
        </w:rPr>
      </w:pPr>
      <w:r>
        <w:rPr>
          <w:rFonts w:ascii="Times New Roman" w:cs="Times New Roman" w:eastAsia="Times New Roman" w:hAnsi="Times New Roman"/>
          <w:sz w:val="17"/>
          <w:szCs w:val="17"/>
          <w:color w:val="auto"/>
        </w:rPr>
        <w:t>We present below key business highlights to assist our stockholders in understanding the compensation decisions made with respect to our NEOs that relate to 2025 performance. Key performance highlights from 2025 include:</w:t>
      </w:r>
    </w:p>
    <w:p>
      <w:pPr>
        <w:spacing w:after="0" w:line="190"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 increased 6.2% over 2024 to $3.31 billion.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adjusted same-facility revenues increased 4.9% from 2024.</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 attributable to common stockholders of $77.9 million, resulting in a net loss per share of $0.61.</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increased 3.5% from 2024 to $526.2 million.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of Our Executive Compensation Objectives and Pay-for-Performance Philosophy</w:t>
      </w:r>
    </w:p>
    <w:p>
      <w:pPr>
        <w:spacing w:after="0" w:line="234" w:lineRule="exact"/>
        <w:rPr>
          <w:sz w:val="20"/>
          <w:szCs w:val="20"/>
          <w:color w:val="auto"/>
        </w:rPr>
      </w:pPr>
    </w:p>
    <w:p>
      <w:pPr>
        <w:ind w:right="240" w:firstLine="309"/>
        <w:spacing w:after="0" w:line="262" w:lineRule="auto"/>
        <w:rPr>
          <w:sz w:val="20"/>
          <w:szCs w:val="20"/>
          <w:color w:val="auto"/>
        </w:rPr>
      </w:pPr>
      <w:r>
        <w:rPr>
          <w:rFonts w:ascii="Times New Roman" w:cs="Times New Roman" w:eastAsia="Times New Roman" w:hAnsi="Times New Roman"/>
          <w:sz w:val="17"/>
          <w:szCs w:val="17"/>
          <w:color w:val="auto"/>
        </w:rPr>
        <w:t>Our executive compensation program reflects the Company’s commitment to pay-for-performance and to align the interests of the Company’s management with those of our stockholders. In addition, our executive compensation program is designed to encourage our executives to take actions that support the Company’s short-term financial goals while sustaining the incentive to achieve strong stockholder value creation over the long term.</w:t>
      </w:r>
    </w:p>
    <w:p>
      <w:pPr>
        <w:spacing w:after="0" w:line="185" w:lineRule="exact"/>
        <w:rPr>
          <w:sz w:val="20"/>
          <w:szCs w:val="20"/>
          <w:color w:val="auto"/>
        </w:rPr>
      </w:pPr>
    </w:p>
    <w:p>
      <w:pPr>
        <w:ind w:right="20" w:firstLine="309"/>
        <w:spacing w:after="0" w:line="287" w:lineRule="auto"/>
        <w:rPr>
          <w:sz w:val="20"/>
          <w:szCs w:val="20"/>
          <w:color w:val="auto"/>
        </w:rPr>
      </w:pPr>
      <w:r>
        <w:rPr>
          <w:rFonts w:ascii="Times New Roman" w:cs="Times New Roman" w:eastAsia="Times New Roman" w:hAnsi="Times New Roman"/>
          <w:sz w:val="17"/>
          <w:szCs w:val="17"/>
          <w:color w:val="auto"/>
        </w:rPr>
        <w:t>Our long-term success is based on achieving key strategic, financial and operational goals each year. To drive achievement of and align focus with these goals, our executive compensation program is designed to:</w:t>
      </w:r>
    </w:p>
    <w:p>
      <w:pPr>
        <w:spacing w:after="0" w:line="164" w:lineRule="exact"/>
        <w:rPr>
          <w:sz w:val="20"/>
          <w:szCs w:val="20"/>
          <w:color w:val="auto"/>
        </w:rPr>
      </w:pPr>
    </w:p>
    <w:p>
      <w:pPr>
        <w:ind w:left="620" w:right="540" w:hanging="307"/>
        <w:spacing w:after="0" w:line="271"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retain and motivate talented executives with significant industry knowledge and the experience and leadership capability necessary for our corporate success.</w:t>
      </w:r>
    </w:p>
    <w:p>
      <w:pPr>
        <w:spacing w:after="0" w:line="190" w:lineRule="exact"/>
        <w:rPr>
          <w:rFonts w:ascii="Times New Roman" w:cs="Times New Roman" w:eastAsia="Times New Roman" w:hAnsi="Times New Roman"/>
          <w:sz w:val="17"/>
          <w:szCs w:val="17"/>
          <w:color w:val="auto"/>
        </w:rPr>
      </w:pPr>
    </w:p>
    <w:p>
      <w:pPr>
        <w:ind w:left="620" w:right="180" w:hanging="307"/>
        <w:spacing w:after="0" w:line="271"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the interests of our NEOs with those of our stockholders by delivering a substantial portion of each officer's compensation through incentives that drive long-term enterprise value.</w:t>
      </w:r>
    </w:p>
    <w:p>
      <w:pPr>
        <w:spacing w:after="0" w:line="177" w:lineRule="exact"/>
        <w:rPr>
          <w:rFonts w:ascii="Times New Roman" w:cs="Times New Roman" w:eastAsia="Times New Roman" w:hAnsi="Times New Roman"/>
          <w:sz w:val="17"/>
          <w:szCs w:val="17"/>
          <w:color w:val="auto"/>
        </w:rPr>
      </w:pPr>
    </w:p>
    <w:p>
      <w:pPr>
        <w:ind w:left="620" w:right="100" w:hanging="307"/>
        <w:spacing w:after="0" w:line="262"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strong link between pay and performance by weighting total direct compensation toward performance-based incentive compensation that promotes achievement of short-term performance with annual cash incentive awards and supports long-term business objectives with performance-based equity grants.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Policies and Practices</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maintain the following compensation policies and practices that reflect our pay-for-performance philosophy and support long-term stockholder value:</w:t>
      </w:r>
    </w:p>
    <w:p>
      <w:pPr>
        <w:spacing w:after="0" w:line="239" w:lineRule="exact"/>
        <w:rPr>
          <w:sz w:val="20"/>
          <w:szCs w:val="20"/>
          <w:color w:val="auto"/>
        </w:rPr>
      </w:pPr>
    </w:p>
    <w:p>
      <w:pPr>
        <w:ind w:left="620" w:right="160" w:hanging="307"/>
        <w:spacing w:after="0" w:line="276"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Well-Balanced Compensation Program</w:t>
      </w:r>
      <w:r>
        <w:rPr>
          <w:rFonts w:ascii="Times New Roman" w:cs="Times New Roman" w:eastAsia="Times New Roman" w:hAnsi="Times New Roman"/>
          <w:sz w:val="17"/>
          <w:szCs w:val="17"/>
          <w:color w:val="auto"/>
        </w:rPr>
        <w:t>. The structure of our executive compensation program includes a balanced mix of cash and equity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a strong emphasis on performance-based and at-risk compensation.</w:t>
      </w:r>
    </w:p>
    <w:p>
      <w:pPr>
        <w:spacing w:after="0" w:line="169" w:lineRule="exact"/>
        <w:rPr>
          <w:rFonts w:ascii="Times New Roman" w:cs="Times New Roman" w:eastAsia="Times New Roman" w:hAnsi="Times New Roman"/>
          <w:sz w:val="17"/>
          <w:szCs w:val="17"/>
          <w:color w:val="auto"/>
        </w:rPr>
      </w:pPr>
    </w:p>
    <w:p>
      <w:pPr>
        <w:ind w:left="620" w:right="60" w:hanging="307"/>
        <w:spacing w:after="0" w:line="264"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Capped Annual Incentive Award Opportunities</w:t>
      </w:r>
      <w:r>
        <w:rPr>
          <w:rFonts w:ascii="Times New Roman" w:cs="Times New Roman" w:eastAsia="Times New Roman" w:hAnsi="Times New Roman"/>
          <w:sz w:val="17"/>
          <w:szCs w:val="17"/>
          <w:color w:val="auto"/>
        </w:rPr>
        <w:t>. The value of our NEOs' incentive awards is determined by performance-based metrics that promote long-term stockholder value. Additionally, for 2025, although there is not a specific performance metric tied to clinical quality, the Compensation Committee used its discretionary authority to emphasize clinical quality in determining the level of award payout achieved by our NEOs.</w:t>
      </w:r>
    </w:p>
    <w:p>
      <w:pPr>
        <w:spacing w:after="0" w:line="179" w:lineRule="exact"/>
        <w:rPr>
          <w:rFonts w:ascii="Times New Roman" w:cs="Times New Roman" w:eastAsia="Times New Roman" w:hAnsi="Times New Roman"/>
          <w:sz w:val="17"/>
          <w:szCs w:val="17"/>
          <w:color w:val="auto"/>
        </w:rPr>
      </w:pPr>
    </w:p>
    <w:p>
      <w:pPr>
        <w:ind w:left="620" w:right="520" w:hanging="307"/>
        <w:spacing w:after="0" w:line="292"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Performance-Based Long-Term Incentives</w:t>
      </w:r>
      <w:r>
        <w:rPr>
          <w:rFonts w:ascii="Times New Roman" w:cs="Times New Roman" w:eastAsia="Times New Roman" w:hAnsi="Times New Roman"/>
          <w:sz w:val="17"/>
          <w:szCs w:val="17"/>
          <w:color w:val="auto"/>
        </w:rPr>
        <w:t>. To align pay with performance, 60% of our long-term incentive awards for NEOs granted in 2025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vesting based on key financial performance objectives.</w:t>
      </w:r>
    </w:p>
    <w:p>
      <w:pPr>
        <w:spacing w:after="0" w:line="156" w:lineRule="exact"/>
        <w:rPr>
          <w:rFonts w:ascii="Times New Roman" w:cs="Times New Roman" w:eastAsia="Times New Roman" w:hAnsi="Times New Roman"/>
          <w:sz w:val="17"/>
          <w:szCs w:val="17"/>
          <w:color w:val="auto"/>
        </w:rPr>
      </w:pPr>
    </w:p>
    <w:p>
      <w:pPr>
        <w:ind w:left="620" w:right="80" w:hanging="307"/>
        <w:spacing w:after="0" w:line="276"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Multi-Year Vesting Periods</w:t>
      </w:r>
      <w:r>
        <w:rPr>
          <w:rFonts w:ascii="Times New Roman" w:cs="Times New Roman" w:eastAsia="Times New Roman" w:hAnsi="Times New Roman"/>
          <w:sz w:val="17"/>
          <w:szCs w:val="17"/>
          <w:color w:val="auto"/>
        </w:rPr>
        <w:t>. To enhance retention and alignment with stockholders' interests, our long-term incentive awards are comprised of time-based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performance-based equity awards that vest over multiple years, including performance-based equity awards that cliff vest after three years.</w:t>
      </w:r>
    </w:p>
    <w:p>
      <w:pPr>
        <w:spacing w:after="0" w:line="182" w:lineRule="exact"/>
        <w:rPr>
          <w:rFonts w:ascii="Times New Roman" w:cs="Times New Roman" w:eastAsia="Times New Roman" w:hAnsi="Times New Roman"/>
          <w:sz w:val="17"/>
          <w:szCs w:val="17"/>
          <w:color w:val="auto"/>
        </w:rPr>
      </w:pPr>
    </w:p>
    <w:p>
      <w:pPr>
        <w:ind w:left="620" w:right="640" w:hanging="307"/>
        <w:spacing w:after="0" w:line="276"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Independent Decision Makers</w:t>
      </w:r>
      <w:r>
        <w:rPr>
          <w:rFonts w:ascii="Times New Roman" w:cs="Times New Roman" w:eastAsia="Times New Roman" w:hAnsi="Times New Roman"/>
          <w:sz w:val="17"/>
          <w:szCs w:val="17"/>
          <w:color w:val="auto"/>
        </w:rPr>
        <w:t>. Members of our Compensation Committee are independent and the committee works closely with an independent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consultant to monitor trends and best practices.</w:t>
      </w:r>
    </w:p>
    <w:p>
      <w:pPr>
        <w:spacing w:after="0" w:line="169" w:lineRule="exact"/>
        <w:rPr>
          <w:rFonts w:ascii="Times New Roman" w:cs="Times New Roman" w:eastAsia="Times New Roman" w:hAnsi="Times New Roman"/>
          <w:sz w:val="17"/>
          <w:szCs w:val="17"/>
          <w:color w:val="auto"/>
        </w:rPr>
      </w:pPr>
    </w:p>
    <w:p>
      <w:pPr>
        <w:ind w:left="620" w:right="480" w:hanging="307"/>
        <w:spacing w:after="0" w:line="292"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Competitive Compensation Practices</w:t>
      </w:r>
      <w:r>
        <w:rPr>
          <w:rFonts w:ascii="Times New Roman" w:cs="Times New Roman" w:eastAsia="Times New Roman" w:hAnsi="Times New Roman"/>
          <w:sz w:val="17"/>
          <w:szCs w:val="17"/>
          <w:color w:val="auto"/>
        </w:rPr>
        <w:t>. The competitiveness of our executive compensation program is determined by comparison to a group of peer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companies that are comparable based on industry, revenue, market capitalization and other factors.</w:t>
      </w:r>
    </w:p>
    <w:p>
      <w:pPr>
        <w:spacing w:after="0" w:line="156" w:lineRule="exact"/>
        <w:rPr>
          <w:rFonts w:ascii="Times New Roman" w:cs="Times New Roman" w:eastAsia="Times New Roman" w:hAnsi="Times New Roman"/>
          <w:sz w:val="17"/>
          <w:szCs w:val="17"/>
          <w:color w:val="auto"/>
        </w:rPr>
      </w:pPr>
    </w:p>
    <w:p>
      <w:pPr>
        <w:ind w:left="620" w:right="340" w:hanging="307"/>
        <w:spacing w:after="0" w:line="276"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Double-Trigger Change in Control Benefits</w:t>
      </w:r>
      <w:r>
        <w:rPr>
          <w:rFonts w:ascii="Times New Roman" w:cs="Times New Roman" w:eastAsia="Times New Roman" w:hAnsi="Times New Roman"/>
          <w:sz w:val="17"/>
          <w:szCs w:val="17"/>
          <w:color w:val="auto"/>
        </w:rPr>
        <w:t>. Options and restricted stock grants are subject to "double-trigger" vesting in connection with a change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awards that require a qualifying termination of employment in addition to a change in control in order to become fully vested).</w:t>
      </w:r>
    </w:p>
    <w:p>
      <w:pPr>
        <w:spacing w:after="0" w:line="18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Limited Perquisites</w:t>
      </w:r>
      <w:r>
        <w:rPr>
          <w:rFonts w:ascii="Times New Roman" w:cs="Times New Roman" w:eastAsia="Times New Roman" w:hAnsi="Times New Roman"/>
          <w:sz w:val="17"/>
          <w:szCs w:val="17"/>
          <w:color w:val="auto"/>
        </w:rPr>
        <w:t>. We provide our NEOs with limited perquisites that are narrowly tailored to enhance our retention of talent over the long term.</w:t>
      </w:r>
    </w:p>
    <w:p>
      <w:pPr>
        <w:spacing w:after="0" w:line="229" w:lineRule="exact"/>
        <w:rPr>
          <w:rFonts w:ascii="Times New Roman" w:cs="Times New Roman" w:eastAsia="Times New Roman" w:hAnsi="Times New Roman"/>
          <w:sz w:val="17"/>
          <w:szCs w:val="17"/>
          <w:color w:val="auto"/>
        </w:rPr>
      </w:pPr>
    </w:p>
    <w:p>
      <w:pPr>
        <w:ind w:left="620" w:right="160" w:hanging="307"/>
        <w:spacing w:after="0" w:line="276"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Share Ownership and Retention Guidelines. </w:t>
      </w:r>
      <w:r>
        <w:rPr>
          <w:rFonts w:ascii="Times New Roman" w:cs="Times New Roman" w:eastAsia="Times New Roman" w:hAnsi="Times New Roman"/>
          <w:sz w:val="17"/>
          <w:szCs w:val="17"/>
          <w:color w:val="auto"/>
        </w:rPr>
        <w:t>In order to demonstrate alignment of the interests of management and the directors with the stockholders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we have share ownership and retention guidelines applicable to the NEOs and non-employee directors</w:t>
      </w:r>
      <w:r>
        <w:rPr>
          <w:rFonts w:ascii="Times New Roman" w:cs="Times New Roman" w:eastAsia="Times New Roman" w:hAnsi="Times New Roman"/>
          <w:sz w:val="17"/>
          <w:szCs w:val="17"/>
          <w:b w:val="1"/>
          <w:bCs w:val="1"/>
          <w:color w:val="auto"/>
        </w:rPr>
        <w:t>.</w:t>
      </w:r>
    </w:p>
    <w:p>
      <w:pPr>
        <w:spacing w:after="0" w:line="182" w:lineRule="exact"/>
        <w:rPr>
          <w:rFonts w:ascii="Times New Roman" w:cs="Times New Roman" w:eastAsia="Times New Roman" w:hAnsi="Times New Roman"/>
          <w:sz w:val="17"/>
          <w:szCs w:val="17"/>
          <w:color w:val="auto"/>
        </w:rPr>
      </w:pPr>
    </w:p>
    <w:p>
      <w:pPr>
        <w:ind w:left="620" w:right="20" w:hanging="307"/>
        <w:spacing w:after="0" w:line="276"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Clawback Policy. </w:t>
      </w:r>
      <w:r>
        <w:rPr>
          <w:rFonts w:ascii="Times New Roman" w:cs="Times New Roman" w:eastAsia="Times New Roman" w:hAnsi="Times New Roman"/>
          <w:sz w:val="17"/>
          <w:szCs w:val="17"/>
          <w:color w:val="auto"/>
        </w:rPr>
        <w:t>We adopted an Executive Compensation Recovery Policy regarding the recovery of erroneously awarded incentive-based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received by executive officers under certain circumstances which is administered by the Compensation Committee.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Framework and Process</w:t>
      </w: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Role of the Compensation Committee in Compensation Decisions</w:t>
      </w:r>
    </w:p>
    <w:p>
      <w:pPr>
        <w:spacing w:after="0" w:line="236" w:lineRule="exact"/>
        <w:rPr>
          <w:sz w:val="20"/>
          <w:szCs w:val="20"/>
          <w:color w:val="auto"/>
        </w:rPr>
      </w:pPr>
    </w:p>
    <w:p>
      <w:pPr>
        <w:ind w:right="240" w:firstLine="309"/>
        <w:spacing w:after="0" w:line="254" w:lineRule="auto"/>
        <w:rPr>
          <w:sz w:val="20"/>
          <w:szCs w:val="20"/>
          <w:color w:val="auto"/>
        </w:rPr>
      </w:pPr>
      <w:r>
        <w:rPr>
          <w:rFonts w:ascii="Times New Roman" w:cs="Times New Roman" w:eastAsia="Times New Roman" w:hAnsi="Times New Roman"/>
          <w:sz w:val="17"/>
          <w:szCs w:val="17"/>
          <w:color w:val="auto"/>
        </w:rPr>
        <w:t>Our Compensation Committee oversees our total compensation philosophy, compensation programs, equity incentive programs and benefit plans, and is responsible for reviewing and approving, or recommending that the Board approve, as applicable, all components of our executive compensation program. Our Compensation Committee reviews and recommends the compensation of our Chief Executive Officer. After considering the assessment and recommendation of the Chief Executive Officer, our Compensation Committee determines and approves compensation decisions relating to our other NEOs.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Role of the Independent Compensation Consultant</w:t>
      </w:r>
    </w:p>
    <w:p>
      <w:pPr>
        <w:spacing w:after="0" w:line="249" w:lineRule="exact"/>
        <w:rPr>
          <w:sz w:val="20"/>
          <w:szCs w:val="20"/>
          <w:color w:val="auto"/>
        </w:rPr>
      </w:pPr>
    </w:p>
    <w:p>
      <w:pPr>
        <w:ind w:firstLine="309"/>
        <w:spacing w:after="0" w:line="247" w:lineRule="auto"/>
        <w:rPr>
          <w:sz w:val="20"/>
          <w:szCs w:val="20"/>
          <w:color w:val="auto"/>
        </w:rPr>
      </w:pPr>
      <w:r>
        <w:rPr>
          <w:rFonts w:ascii="Times New Roman" w:cs="Times New Roman" w:eastAsia="Times New Roman" w:hAnsi="Times New Roman"/>
          <w:sz w:val="17"/>
          <w:szCs w:val="17"/>
          <w:color w:val="auto"/>
        </w:rPr>
        <w:t>For 2025, our Compensation Committee retained Frederic W. Cook &amp; Co., Inc. ("FW Cook"), an independent compensation consulting firm, to provide advice on executive compensation matters, including the types, levels and the competitiveness of our programs. FW Cook reports directly to our Compensation Committee and interacts with management at the Compensation Committee's direction. Our Compensation Committee and its chairperson have regular opportunities to meet with FW Cook in executive sessions without management present. The Compensation Committee considered the independence of FW Cook in light of current SEC rules and Nasdaq listing standards and concluded that no conflict of interest exists that would prevent FW Cook from independently advising the Compensation Committee.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Role of our Chief Executive Officer</w:t>
      </w:r>
    </w:p>
    <w:p>
      <w:pPr>
        <w:spacing w:after="0" w:line="236" w:lineRule="exact"/>
        <w:rPr>
          <w:sz w:val="20"/>
          <w:szCs w:val="20"/>
          <w:color w:val="auto"/>
        </w:rPr>
      </w:pPr>
    </w:p>
    <w:p>
      <w:pPr>
        <w:ind w:right="500" w:firstLine="309"/>
        <w:spacing w:after="0" w:line="253" w:lineRule="auto"/>
        <w:rPr>
          <w:sz w:val="20"/>
          <w:szCs w:val="20"/>
          <w:color w:val="auto"/>
        </w:rPr>
      </w:pPr>
      <w:r>
        <w:rPr>
          <w:rFonts w:ascii="Times New Roman" w:cs="Times New Roman" w:eastAsia="Times New Roman" w:hAnsi="Times New Roman"/>
          <w:sz w:val="17"/>
          <w:szCs w:val="17"/>
          <w:color w:val="auto"/>
        </w:rPr>
        <w:t>Our Chief Executive Officer annually reviews the performance of the other NEOs, after which the Chief Executive Officer presents his conclusions and recommendations to the Compensation Committee for approval. Our Compensation Committee has absolute discretion as to whether it approves the recommendations of the Chief Executive Officer or makes adjustments, as it deems appropriate. The Chief Executive Officer may also work with the Compensation Committee to gather and compile data needed for benchmarking purposes or for other analysis conducted by the Compensation Committee's independent consultants and advisors.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Benchmarking</w:t>
      </w:r>
    </w:p>
    <w:p>
      <w:pPr>
        <w:spacing w:after="0" w:line="236" w:lineRule="exact"/>
        <w:rPr>
          <w:sz w:val="20"/>
          <w:szCs w:val="20"/>
          <w:color w:val="auto"/>
        </w:rPr>
      </w:pPr>
    </w:p>
    <w:p>
      <w:pPr>
        <w:ind w:right="120" w:firstLine="309"/>
        <w:spacing w:after="0" w:line="250" w:lineRule="auto"/>
        <w:rPr>
          <w:sz w:val="20"/>
          <w:szCs w:val="20"/>
          <w:color w:val="auto"/>
        </w:rPr>
      </w:pPr>
      <w:r>
        <w:rPr>
          <w:rFonts w:ascii="Times New Roman" w:cs="Times New Roman" w:eastAsia="Times New Roman" w:hAnsi="Times New Roman"/>
          <w:sz w:val="17"/>
          <w:szCs w:val="17"/>
          <w:color w:val="auto"/>
        </w:rPr>
        <w:t>Our Compensation Committee reviews competitive data for comparable executive positions in the market. External market data is used by the Compensation Committee as a point of reference in its executive pay decisions in conjunction with financial and individual performance data. The Compensation Committee reviews compensation information disclosed by a peer group of comparably sized companies with which we compete for business and executive talent and information derived from published survey data that compares the elements of each executive officer's target total direct compensation to the market information for executives with similar roles. FW Cook compiles this information for the Compensation Committee and size-adjusts the published survey data to reflect our size in relation to the survey participants to more accurately reflect the scope of responsibility for each NEO.</w:t>
      </w:r>
    </w:p>
    <w:p>
      <w:pPr>
        <w:spacing w:after="0" w:line="196" w:lineRule="exact"/>
        <w:rPr>
          <w:sz w:val="20"/>
          <w:szCs w:val="20"/>
          <w:color w:val="auto"/>
        </w:rPr>
      </w:pPr>
    </w:p>
    <w:p>
      <w:pPr>
        <w:jc w:val="both"/>
        <w:ind w:right="240" w:firstLine="309"/>
        <w:spacing w:after="0" w:line="254" w:lineRule="auto"/>
        <w:rPr>
          <w:sz w:val="20"/>
          <w:szCs w:val="20"/>
          <w:color w:val="auto"/>
        </w:rPr>
      </w:pPr>
      <w:r>
        <w:rPr>
          <w:rFonts w:ascii="Times New Roman" w:cs="Times New Roman" w:eastAsia="Times New Roman" w:hAnsi="Times New Roman"/>
          <w:sz w:val="17"/>
          <w:szCs w:val="17"/>
          <w:color w:val="auto"/>
        </w:rPr>
        <w:t>The Compensation Committee, in consultation with FW Cook, annually reviews and selects the peer companies, which generally consist of publicly-traded healthcare companies. The peer group companies selected for purposes of analyzing and determining the compensation of our executive officers, including our NEOs, were selected primarily based upon the following criteria: (i) similar business operations/industry/competitors for investor capital, (ii) comparable sales, market capitalization and profitability levels, and (iii) competitors for executive talent.</w:t>
      </w:r>
    </w:p>
    <w:p>
      <w:pPr>
        <w:spacing w:after="0" w:line="204" w:lineRule="exact"/>
        <w:rPr>
          <w:sz w:val="20"/>
          <w:szCs w:val="20"/>
          <w:color w:val="auto"/>
        </w:rPr>
      </w:pPr>
    </w:p>
    <w:p>
      <w:pPr>
        <w:ind w:right="160" w:firstLine="309"/>
        <w:spacing w:after="0" w:line="271" w:lineRule="auto"/>
        <w:rPr>
          <w:sz w:val="20"/>
          <w:szCs w:val="20"/>
          <w:color w:val="auto"/>
        </w:rPr>
      </w:pPr>
      <w:r>
        <w:rPr>
          <w:rFonts w:ascii="Times New Roman" w:cs="Times New Roman" w:eastAsia="Times New Roman" w:hAnsi="Times New Roman"/>
          <w:sz w:val="17"/>
          <w:szCs w:val="17"/>
          <w:color w:val="auto"/>
        </w:rPr>
        <w:t>The Compensation Committee worked with FW Cook to evaluate our peer group and selected the following companies as our peer group for 2025 primarily because they are similar healthcare companies with revenues between approximately 1/3 and three times our pro-forma revenues estimate of $3.4 billion: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80" w:type="dxa"/>
            <w:vAlign w:val="bottom"/>
          </w:tcPr>
          <w:p>
            <w:pPr>
              <w:spacing w:after="0"/>
              <w:rPr>
                <w:sz w:val="22"/>
                <w:szCs w:val="22"/>
                <w:color w:val="auto"/>
              </w:rPr>
            </w:pPr>
          </w:p>
        </w:tc>
        <w:tc>
          <w:tcPr>
            <w:tcW w:w="3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Acadia Healthcare Company, Inc.</w:t>
            </w:r>
          </w:p>
        </w:tc>
        <w:tc>
          <w:tcPr>
            <w:tcW w:w="3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Encompass Health Corporation</w:t>
            </w:r>
          </w:p>
        </w:tc>
        <w:tc>
          <w:tcPr>
            <w:tcW w:w="4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Premier, Inc.</w:t>
            </w:r>
          </w:p>
        </w:tc>
        <w:tc>
          <w:tcPr>
            <w:tcW w:w="180" w:type="dxa"/>
            <w:vAlign w:val="bottom"/>
          </w:tcPr>
          <w:p>
            <w:pPr>
              <w:spacing w:after="0"/>
              <w:rPr>
                <w:sz w:val="22"/>
                <w:szCs w:val="22"/>
                <w:color w:val="auto"/>
              </w:rPr>
            </w:pPr>
          </w:p>
        </w:tc>
      </w:tr>
      <w:tr>
        <w:trPr>
          <w:trHeight w:val="258"/>
        </w:trPr>
        <w:tc>
          <w:tcPr>
            <w:tcW w:w="180" w:type="dxa"/>
            <w:vAlign w:val="bottom"/>
          </w:tcPr>
          <w:p>
            <w:pPr>
              <w:spacing w:after="0"/>
              <w:rPr>
                <w:sz w:val="22"/>
                <w:szCs w:val="22"/>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Amedisys, Inc.</w:t>
            </w:r>
          </w:p>
        </w:tc>
        <w:tc>
          <w:tcPr>
            <w:tcW w:w="35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The Ensign Group, Inc.</w:t>
            </w:r>
          </w:p>
        </w:tc>
        <w:tc>
          <w:tcPr>
            <w:tcW w:w="44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RadNet, Inc.</w:t>
            </w:r>
          </w:p>
        </w:tc>
      </w:tr>
      <w:tr>
        <w:trPr>
          <w:trHeight w:val="219"/>
        </w:trPr>
        <w:tc>
          <w:tcPr>
            <w:tcW w:w="180" w:type="dxa"/>
            <w:vAlign w:val="bottom"/>
          </w:tcPr>
          <w:p>
            <w:pPr>
              <w:spacing w:after="0"/>
              <w:rPr>
                <w:sz w:val="19"/>
                <w:szCs w:val="19"/>
                <w:color w:val="auto"/>
              </w:rPr>
            </w:pPr>
          </w:p>
        </w:tc>
        <w:tc>
          <w:tcPr>
            <w:tcW w:w="3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AMN Healthcare Services, Inc.</w:t>
            </w:r>
          </w:p>
        </w:tc>
        <w:tc>
          <w:tcPr>
            <w:tcW w:w="3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ModivCare Inc.</w:t>
            </w:r>
          </w:p>
        </w:tc>
        <w:tc>
          <w:tcPr>
            <w:tcW w:w="4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Select Medical Holdings Corp</w:t>
            </w:r>
          </w:p>
        </w:tc>
        <w:tc>
          <w:tcPr>
            <w:tcW w:w="180" w:type="dxa"/>
            <w:vAlign w:val="bottom"/>
          </w:tcPr>
          <w:p>
            <w:pPr>
              <w:spacing w:after="0"/>
              <w:rPr>
                <w:sz w:val="19"/>
                <w:szCs w:val="19"/>
                <w:color w:val="auto"/>
              </w:rPr>
            </w:pPr>
          </w:p>
        </w:tc>
      </w:tr>
      <w:tr>
        <w:trPr>
          <w:trHeight w:val="258"/>
        </w:trPr>
        <w:tc>
          <w:tcPr>
            <w:tcW w:w="180" w:type="dxa"/>
            <w:vAlign w:val="bottom"/>
          </w:tcPr>
          <w:p>
            <w:pPr>
              <w:spacing w:after="0"/>
              <w:rPr>
                <w:sz w:val="22"/>
                <w:szCs w:val="22"/>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Brookdale Senior Living Inc.</w:t>
            </w:r>
          </w:p>
        </w:tc>
        <w:tc>
          <w:tcPr>
            <w:tcW w:w="35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Option Care Health, Inc.</w:t>
            </w:r>
          </w:p>
        </w:tc>
        <w:tc>
          <w:tcPr>
            <w:tcW w:w="43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8"/>
        </w:trPr>
        <w:tc>
          <w:tcPr>
            <w:tcW w:w="180" w:type="dxa"/>
            <w:vAlign w:val="bottom"/>
          </w:tcPr>
          <w:p>
            <w:pPr>
              <w:spacing w:after="0"/>
              <w:rPr>
                <w:sz w:val="22"/>
                <w:szCs w:val="22"/>
                <w:color w:val="auto"/>
              </w:rPr>
            </w:pPr>
          </w:p>
        </w:tc>
        <w:tc>
          <w:tcPr>
            <w:tcW w:w="3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Chemed Corporation</w:t>
            </w:r>
          </w:p>
        </w:tc>
        <w:tc>
          <w:tcPr>
            <w:tcW w:w="3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Pediatrix Medical Group, Inc.</w:t>
            </w:r>
          </w:p>
        </w:tc>
        <w:tc>
          <w:tcPr>
            <w:tcW w:w="4300" w:type="dxa"/>
            <w:vAlign w:val="bottom"/>
            <w:shd w:val="clear" w:color="auto" w:fill="CCEEFF"/>
          </w:tcPr>
          <w:p>
            <w:pPr>
              <w:spacing w:after="0"/>
              <w:rPr>
                <w:sz w:val="22"/>
                <w:szCs w:val="22"/>
                <w:color w:val="auto"/>
              </w:rPr>
            </w:pPr>
          </w:p>
        </w:tc>
        <w:tc>
          <w:tcPr>
            <w:tcW w:w="180" w:type="dxa"/>
            <w:vAlign w:val="bottom"/>
          </w:tcPr>
          <w:p>
            <w:pPr>
              <w:spacing w:after="0"/>
              <w:rPr>
                <w:sz w:val="22"/>
                <w:szCs w:val="22"/>
                <w:color w:val="auto"/>
              </w:rPr>
            </w:pPr>
          </w:p>
        </w:tc>
      </w:tr>
      <w:tr>
        <w:trPr>
          <w:trHeight w:val="838"/>
        </w:trPr>
        <w:tc>
          <w:tcPr>
            <w:tcW w:w="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54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20</w:t>
            </w: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4"/>
        </w:trPr>
        <w:tc>
          <w:tcPr>
            <w:tcW w:w="180" w:type="dxa"/>
            <w:vAlign w:val="bottom"/>
            <w:tcBorders>
              <w:bottom w:val="single" w:sz="8" w:color="9A9A9A"/>
            </w:tcBorders>
          </w:tcPr>
          <w:p>
            <w:pPr>
              <w:spacing w:after="0"/>
              <w:rPr>
                <w:sz w:val="11"/>
                <w:szCs w:val="11"/>
                <w:color w:val="auto"/>
              </w:rPr>
            </w:pPr>
          </w:p>
        </w:tc>
        <w:tc>
          <w:tcPr>
            <w:tcW w:w="3040" w:type="dxa"/>
            <w:vAlign w:val="bottom"/>
            <w:tcBorders>
              <w:bottom w:val="single" w:sz="8" w:color="9A9A9A"/>
            </w:tcBorders>
          </w:tcPr>
          <w:p>
            <w:pPr>
              <w:spacing w:after="0"/>
              <w:rPr>
                <w:sz w:val="11"/>
                <w:szCs w:val="11"/>
                <w:color w:val="auto"/>
              </w:rPr>
            </w:pPr>
          </w:p>
        </w:tc>
        <w:tc>
          <w:tcPr>
            <w:tcW w:w="3540" w:type="dxa"/>
            <w:vAlign w:val="bottom"/>
            <w:tcBorders>
              <w:bottom w:val="single" w:sz="8" w:color="9A9A9A"/>
            </w:tcBorders>
          </w:tcPr>
          <w:p>
            <w:pPr>
              <w:spacing w:after="0"/>
              <w:rPr>
                <w:sz w:val="11"/>
                <w:szCs w:val="11"/>
                <w:color w:val="auto"/>
              </w:rPr>
            </w:pPr>
          </w:p>
        </w:tc>
        <w:tc>
          <w:tcPr>
            <w:tcW w:w="43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Elements of Named Executive Officer Compensation</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a discussion of the primary elements of compensation for each of our NEOs for 2025, which consisted of the following:</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Element</w:t>
            </w: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416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Primary Objectives</w:t>
            </w:r>
          </w:p>
        </w:tc>
        <w:tc>
          <w:tcPr>
            <w:tcW w:w="0" w:type="dxa"/>
            <w:vAlign w:val="bottom"/>
          </w:tcPr>
          <w:p>
            <w:pPr>
              <w:spacing w:after="0"/>
              <w:rPr>
                <w:sz w:val="1"/>
                <w:szCs w:val="1"/>
                <w:color w:val="auto"/>
              </w:rPr>
            </w:pPr>
          </w:p>
        </w:tc>
      </w:tr>
      <w:tr>
        <w:trPr>
          <w:trHeight w:val="38"/>
        </w:trPr>
        <w:tc>
          <w:tcPr>
            <w:tcW w:w="2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Base Salary</w:t>
            </w:r>
          </w:p>
        </w:tc>
        <w:tc>
          <w:tcPr>
            <w:tcW w:w="100" w:type="dxa"/>
            <w:vAlign w:val="bottom"/>
            <w:shd w:val="clear" w:color="auto" w:fill="CCEEFF"/>
          </w:tcPr>
          <w:p>
            <w:pPr>
              <w:spacing w:after="0"/>
              <w:rPr>
                <w:sz w:val="18"/>
                <w:szCs w:val="18"/>
                <w:color w:val="auto"/>
              </w:rPr>
            </w:pPr>
          </w:p>
        </w:tc>
        <w:tc>
          <w:tcPr>
            <w:tcW w:w="4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Fixed cash payments paid over the fiscal year</w:t>
            </w:r>
          </w:p>
        </w:tc>
        <w:tc>
          <w:tcPr>
            <w:tcW w:w="4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Attract and retain key talent</w:t>
            </w:r>
          </w:p>
        </w:tc>
        <w:tc>
          <w:tcPr>
            <w:tcW w:w="0" w:type="dxa"/>
            <w:vAlign w:val="bottom"/>
          </w:tcPr>
          <w:p>
            <w:pPr>
              <w:spacing w:after="0"/>
              <w:rPr>
                <w:sz w:val="1"/>
                <w:szCs w:val="1"/>
                <w:color w:val="auto"/>
              </w:rPr>
            </w:pPr>
          </w:p>
        </w:tc>
      </w:tr>
      <w:tr>
        <w:trPr>
          <w:trHeight w:val="61"/>
        </w:trPr>
        <w:tc>
          <w:tcPr>
            <w:tcW w:w="2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60" w:type="dxa"/>
            <w:vAlign w:val="bottom"/>
            <w:gridSpan w:val="2"/>
            <w:vMerge w:val="continue"/>
            <w:shd w:val="clear" w:color="auto" w:fill="CCEEFF"/>
          </w:tcPr>
          <w:p>
            <w:pPr>
              <w:spacing w:after="0"/>
              <w:rPr>
                <w:sz w:val="5"/>
                <w:szCs w:val="5"/>
                <w:color w:val="auto"/>
              </w:rPr>
            </w:pPr>
          </w:p>
        </w:tc>
        <w:tc>
          <w:tcPr>
            <w:tcW w:w="41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Provide competitive compensation</w:t>
            </w:r>
          </w:p>
        </w:tc>
        <w:tc>
          <w:tcPr>
            <w:tcW w:w="0" w:type="dxa"/>
            <w:vAlign w:val="bottom"/>
          </w:tcPr>
          <w:p>
            <w:pPr>
              <w:spacing w:after="0"/>
              <w:rPr>
                <w:sz w:val="1"/>
                <w:szCs w:val="1"/>
                <w:color w:val="auto"/>
              </w:rPr>
            </w:pPr>
          </w:p>
        </w:tc>
      </w:tr>
      <w:tr>
        <w:trPr>
          <w:trHeight w:val="245"/>
        </w:trPr>
        <w:tc>
          <w:tcPr>
            <w:tcW w:w="2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Recognize experience and performance</w:t>
            </w:r>
          </w:p>
        </w:tc>
        <w:tc>
          <w:tcPr>
            <w:tcW w:w="0" w:type="dxa"/>
            <w:vAlign w:val="bottom"/>
          </w:tcPr>
          <w:p>
            <w:pPr>
              <w:spacing w:after="0"/>
              <w:rPr>
                <w:sz w:val="1"/>
                <w:szCs w:val="1"/>
                <w:color w:val="auto"/>
              </w:rPr>
            </w:pPr>
          </w:p>
        </w:tc>
      </w:tr>
      <w:tr>
        <w:trPr>
          <w:trHeight w:val="77"/>
        </w:trPr>
        <w:tc>
          <w:tcPr>
            <w:tcW w:w="2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Short-Term Incentives</w:t>
            </w:r>
          </w:p>
        </w:tc>
        <w:tc>
          <w:tcPr>
            <w:tcW w:w="4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 Performance-based annual cash and equity incentives</w:t>
            </w:r>
          </w:p>
        </w:tc>
        <w:tc>
          <w:tcPr>
            <w:tcW w:w="41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 Promote and reward achievement of the Company's</w:t>
            </w:r>
          </w:p>
        </w:tc>
        <w:tc>
          <w:tcPr>
            <w:tcW w:w="0" w:type="dxa"/>
            <w:vAlign w:val="bottom"/>
          </w:tcPr>
          <w:p>
            <w:pPr>
              <w:spacing w:after="0"/>
              <w:rPr>
                <w:sz w:val="1"/>
                <w:szCs w:val="1"/>
                <w:color w:val="auto"/>
              </w:rPr>
            </w:pPr>
          </w:p>
        </w:tc>
      </w:tr>
      <w:tr>
        <w:trPr>
          <w:trHeight w:val="61"/>
        </w:trPr>
        <w:tc>
          <w:tcPr>
            <w:tcW w:w="2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60" w:type="dxa"/>
            <w:vAlign w:val="bottom"/>
            <w:gridSpan w:val="2"/>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annual financial and strategic objectives</w:t>
            </w:r>
          </w:p>
        </w:tc>
        <w:tc>
          <w:tcPr>
            <w:tcW w:w="0" w:type="dxa"/>
            <w:vAlign w:val="bottom"/>
          </w:tcPr>
          <w:p>
            <w:pPr>
              <w:spacing w:after="0"/>
              <w:rPr>
                <w:sz w:val="1"/>
                <w:szCs w:val="1"/>
                <w:color w:val="auto"/>
              </w:rPr>
            </w:pPr>
          </w:p>
        </w:tc>
      </w:tr>
      <w:tr>
        <w:trPr>
          <w:trHeight w:val="77"/>
        </w:trPr>
        <w:tc>
          <w:tcPr>
            <w:tcW w:w="2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Long-Term Incentives</w:t>
            </w:r>
          </w:p>
        </w:tc>
        <w:tc>
          <w:tcPr>
            <w:tcW w:w="4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Restricted stock</w:t>
            </w:r>
          </w:p>
        </w:tc>
        <w:tc>
          <w:tcPr>
            <w:tcW w:w="4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Retain and motivate senior management over a multi-</w:t>
            </w:r>
          </w:p>
        </w:tc>
        <w:tc>
          <w:tcPr>
            <w:tcW w:w="0" w:type="dxa"/>
            <w:vAlign w:val="bottom"/>
          </w:tcPr>
          <w:p>
            <w:pPr>
              <w:spacing w:after="0"/>
              <w:rPr>
                <w:sz w:val="1"/>
                <w:szCs w:val="1"/>
                <w:color w:val="auto"/>
              </w:rPr>
            </w:pPr>
          </w:p>
        </w:tc>
      </w:tr>
      <w:tr>
        <w:trPr>
          <w:trHeight w:val="61"/>
        </w:trPr>
        <w:tc>
          <w:tcPr>
            <w:tcW w:w="2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60" w:type="dxa"/>
            <w:vAlign w:val="bottom"/>
            <w:gridSpan w:val="2"/>
            <w:vMerge w:val="continue"/>
            <w:shd w:val="clear" w:color="auto" w:fill="CCEEFF"/>
          </w:tcPr>
          <w:p>
            <w:pPr>
              <w:spacing w:after="0"/>
              <w:rPr>
                <w:sz w:val="5"/>
                <w:szCs w:val="5"/>
                <w:color w:val="auto"/>
              </w:rPr>
            </w:pPr>
          </w:p>
        </w:tc>
        <w:tc>
          <w:tcPr>
            <w:tcW w:w="41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Performance restricted stock units</w:t>
            </w:r>
          </w:p>
        </w:tc>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year vesting period</w:t>
            </w:r>
          </w:p>
        </w:tc>
        <w:tc>
          <w:tcPr>
            <w:tcW w:w="0" w:type="dxa"/>
            <w:vAlign w:val="bottom"/>
          </w:tcPr>
          <w:p>
            <w:pPr>
              <w:spacing w:after="0"/>
              <w:rPr>
                <w:sz w:val="1"/>
                <w:szCs w:val="1"/>
                <w:color w:val="auto"/>
              </w:rPr>
            </w:pPr>
          </w:p>
        </w:tc>
      </w:tr>
      <w:tr>
        <w:trPr>
          <w:trHeight w:val="271"/>
        </w:trPr>
        <w:tc>
          <w:tcPr>
            <w:tcW w:w="2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Tie value earned to achievement of the Company's long-</w:t>
            </w:r>
          </w:p>
        </w:tc>
        <w:tc>
          <w:tcPr>
            <w:tcW w:w="0" w:type="dxa"/>
            <w:vAlign w:val="bottom"/>
          </w:tcPr>
          <w:p>
            <w:pPr>
              <w:spacing w:after="0"/>
              <w:rPr>
                <w:sz w:val="1"/>
                <w:szCs w:val="1"/>
                <w:color w:val="auto"/>
              </w:rPr>
            </w:pPr>
          </w:p>
        </w:tc>
      </w:tr>
      <w:tr>
        <w:trPr>
          <w:trHeight w:val="258"/>
        </w:trPr>
        <w:tc>
          <w:tcPr>
            <w:tcW w:w="2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term goals</w:t>
            </w:r>
          </w:p>
        </w:tc>
        <w:tc>
          <w:tcPr>
            <w:tcW w:w="0" w:type="dxa"/>
            <w:vAlign w:val="bottom"/>
          </w:tcPr>
          <w:p>
            <w:pPr>
              <w:spacing w:after="0"/>
              <w:rPr>
                <w:sz w:val="1"/>
                <w:szCs w:val="1"/>
                <w:color w:val="auto"/>
              </w:rPr>
            </w:pPr>
          </w:p>
        </w:tc>
      </w:tr>
      <w:tr>
        <w:trPr>
          <w:trHeight w:val="77"/>
        </w:trPr>
        <w:tc>
          <w:tcPr>
            <w:tcW w:w="2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Retirement and Welfare Benefits</w:t>
            </w:r>
          </w:p>
        </w:tc>
        <w:tc>
          <w:tcPr>
            <w:tcW w:w="4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 401(k) Plan</w:t>
            </w:r>
          </w:p>
        </w:tc>
        <w:tc>
          <w:tcPr>
            <w:tcW w:w="41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 Provide tax-efficient retirement savings</w:t>
            </w:r>
          </w:p>
        </w:tc>
        <w:tc>
          <w:tcPr>
            <w:tcW w:w="0" w:type="dxa"/>
            <w:vAlign w:val="bottom"/>
          </w:tcPr>
          <w:p>
            <w:pPr>
              <w:spacing w:after="0"/>
              <w:rPr>
                <w:sz w:val="1"/>
                <w:szCs w:val="1"/>
                <w:color w:val="auto"/>
              </w:rPr>
            </w:pPr>
          </w:p>
        </w:tc>
      </w:tr>
      <w:tr>
        <w:trPr>
          <w:trHeight w:val="61"/>
        </w:trPr>
        <w:tc>
          <w:tcPr>
            <w:tcW w:w="2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60" w:type="dxa"/>
            <w:vAlign w:val="bottom"/>
            <w:gridSpan w:val="2"/>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Supplemental executive retirement plan</w:t>
            </w:r>
          </w:p>
        </w:tc>
        <w:tc>
          <w:tcPr>
            <w:tcW w:w="4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Provide tax-efficient opportunity to supplement</w:t>
            </w: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Medical, dental, vision, life insurance and disability</w:t>
            </w:r>
          </w:p>
        </w:tc>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retirement savings</w:t>
            </w: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insurance</w:t>
            </w:r>
          </w:p>
        </w:tc>
        <w:tc>
          <w:tcPr>
            <w:tcW w:w="4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Provide competitive health and welfare benefits</w:t>
            </w:r>
          </w:p>
        </w:tc>
        <w:tc>
          <w:tcPr>
            <w:tcW w:w="0" w:type="dxa"/>
            <w:vAlign w:val="bottom"/>
          </w:tcPr>
          <w:p>
            <w:pPr>
              <w:spacing w:after="0"/>
              <w:rPr>
                <w:sz w:val="1"/>
                <w:szCs w:val="1"/>
                <w:color w:val="auto"/>
              </w:rPr>
            </w:pPr>
          </w:p>
        </w:tc>
      </w:tr>
      <w:tr>
        <w:trPr>
          <w:trHeight w:val="77"/>
        </w:trPr>
        <w:tc>
          <w:tcPr>
            <w:tcW w:w="2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Perquisites</w:t>
            </w:r>
          </w:p>
        </w:tc>
        <w:tc>
          <w:tcPr>
            <w:tcW w:w="4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Cell phone allowance</w:t>
            </w:r>
          </w:p>
        </w:tc>
        <w:tc>
          <w:tcPr>
            <w:tcW w:w="4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Provide competitive ancillary benefits</w:t>
            </w:r>
          </w:p>
        </w:tc>
        <w:tc>
          <w:tcPr>
            <w:tcW w:w="0" w:type="dxa"/>
            <w:vAlign w:val="bottom"/>
          </w:tcPr>
          <w:p>
            <w:pPr>
              <w:spacing w:after="0"/>
              <w:rPr>
                <w:sz w:val="1"/>
                <w:szCs w:val="1"/>
                <w:color w:val="auto"/>
              </w:rPr>
            </w:pPr>
          </w:p>
        </w:tc>
      </w:tr>
      <w:tr>
        <w:trPr>
          <w:trHeight w:val="61"/>
        </w:trPr>
        <w:tc>
          <w:tcPr>
            <w:tcW w:w="2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60" w:type="dxa"/>
            <w:vAlign w:val="bottom"/>
            <w:gridSpan w:val="2"/>
            <w:vMerge w:val="continue"/>
            <w:shd w:val="clear" w:color="auto" w:fill="CCEEFF"/>
          </w:tcPr>
          <w:p>
            <w:pPr>
              <w:spacing w:after="0"/>
              <w:rPr>
                <w:sz w:val="5"/>
                <w:szCs w:val="5"/>
                <w:color w:val="auto"/>
              </w:rPr>
            </w:pPr>
          </w:p>
        </w:tc>
        <w:tc>
          <w:tcPr>
            <w:tcW w:w="41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Severance Benefits</w:t>
            </w:r>
          </w:p>
        </w:tc>
        <w:tc>
          <w:tcPr>
            <w:tcW w:w="4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 Cash and non-cash payments and benefits upon an</w:t>
            </w:r>
          </w:p>
        </w:tc>
        <w:tc>
          <w:tcPr>
            <w:tcW w:w="41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 Provide protection in the event of an involuntary</w:t>
            </w:r>
          </w:p>
        </w:tc>
        <w:tc>
          <w:tcPr>
            <w:tcW w:w="0" w:type="dxa"/>
            <w:vAlign w:val="bottom"/>
          </w:tcPr>
          <w:p>
            <w:pPr>
              <w:spacing w:after="0"/>
              <w:rPr>
                <w:sz w:val="1"/>
                <w:szCs w:val="1"/>
                <w:color w:val="auto"/>
              </w:rPr>
            </w:pPr>
          </w:p>
        </w:tc>
      </w:tr>
      <w:tr>
        <w:trPr>
          <w:trHeight w:val="61"/>
        </w:trPr>
        <w:tc>
          <w:tcPr>
            <w:tcW w:w="2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60" w:type="dxa"/>
            <w:vAlign w:val="bottom"/>
            <w:gridSpan w:val="2"/>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involuntary termination of employment</w:t>
            </w:r>
          </w:p>
        </w:tc>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termination of employment</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100" w:firstLine="309"/>
        <w:spacing w:after="0" w:line="250" w:lineRule="auto"/>
        <w:rPr>
          <w:sz w:val="20"/>
          <w:szCs w:val="20"/>
          <w:color w:val="auto"/>
        </w:rPr>
      </w:pPr>
      <w:r>
        <w:rPr>
          <w:rFonts w:ascii="Times New Roman" w:cs="Times New Roman" w:eastAsia="Times New Roman" w:hAnsi="Times New Roman"/>
          <w:sz w:val="17"/>
          <w:szCs w:val="17"/>
          <w:color w:val="auto"/>
        </w:rPr>
        <w:t>The Compensation Committee does not have a pre-established policy for the allocation between fixed compensation, such as base salary, and variable or "at risk" compensation, such as short-term cash and equity incentives. However, our Compensation Committee places a significant portion of total direct compensation for the NEOs at risk. At risk compensation under the Company’s annual cash incentives plan (the "Cash Incentive Plan") incentivizes our NEOs to reach or exceed desired financial operating goals. Moreover, at risk equity compensation under the Company's 2025 Omnibus Incentive Plan (the "2025 Incentive Plan") and the 2015 Omnibus Incentive Plan, as amended and restated effective January 1, 2020, as amended (the "2015 Incentive Plan"), incentivizes our NEOs because the full benefit of equity-based compensation cannot be realized unless our NEOs are able to grow the value of our stock over multiple years.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249" w:lineRule="exact"/>
        <w:rPr>
          <w:sz w:val="20"/>
          <w:szCs w:val="20"/>
          <w:color w:val="auto"/>
        </w:rPr>
      </w:pPr>
    </w:p>
    <w:p>
      <w:pPr>
        <w:ind w:right="100" w:firstLine="309"/>
        <w:spacing w:after="0" w:line="247" w:lineRule="auto"/>
        <w:rPr>
          <w:sz w:val="20"/>
          <w:szCs w:val="20"/>
          <w:color w:val="auto"/>
        </w:rPr>
      </w:pPr>
      <w:r>
        <w:rPr>
          <w:rFonts w:ascii="Times New Roman" w:cs="Times New Roman" w:eastAsia="Times New Roman" w:hAnsi="Times New Roman"/>
          <w:sz w:val="17"/>
          <w:szCs w:val="17"/>
          <w:color w:val="auto"/>
        </w:rPr>
        <w:t>It is a part of the Company's compensation philosophy that employees be paid a base salary that is competitive with the salaries paid by comparable companies based on each employee's experience, performance and any other unique factors or qualifications. Generally, the Company has chosen to position cash compensation in a range around market median levels in order to remain competitive in attracting and retaining executive talent. FW Cook provides the Compensation Committee with benchmarking data, and our NEOs are provided with a base salary within the market benchmarked range based on their unique situation. Actual base salaries paid vary within a range based on performance over time. Our Compensation Committee reviews the base salaries of our NEOs on an annual basis, and takes into consideration the following factors when determining whether such amounts should be adjusted:</w:t>
      </w:r>
    </w:p>
    <w:p>
      <w:pPr>
        <w:spacing w:after="0" w:line="211"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performance;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the Company;</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executive's performance on the individual businesses or corporate functions for which the executive is responsible;</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and importance of the executive's position and role within the Company;</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the executive's responsibility;</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data provided by the independent compensation consultant; and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20" w:right="620" w:hanging="307"/>
        <w:spacing w:after="0" w:line="271"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compensation package in place for the executive, including the executive's current annual salary and potential bonus awards under the Company's bonus plan.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9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The annual base salaries for applicable NEOs for 2024 and 2025 were as follows:</w:t>
            </w:r>
          </w:p>
        </w:tc>
        <w:tc>
          <w:tcPr>
            <w:tcW w:w="25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2"/>
        </w:trPr>
        <w:tc>
          <w:tcPr>
            <w:tcW w:w="20" w:type="dxa"/>
            <w:vAlign w:val="bottom"/>
          </w:tcPr>
          <w:p>
            <w:pPr>
              <w:spacing w:after="0"/>
              <w:rPr>
                <w:sz w:val="24"/>
                <w:szCs w:val="24"/>
                <w:color w:val="auto"/>
              </w:rPr>
            </w:pPr>
          </w:p>
        </w:tc>
        <w:tc>
          <w:tcPr>
            <w:tcW w:w="69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2560" w:type="dxa"/>
            <w:vAlign w:val="bottom"/>
          </w:tcPr>
          <w:p>
            <w:pPr>
              <w:jc w:val="center"/>
              <w:ind w:left="674"/>
              <w:spacing w:after="0"/>
              <w:rPr>
                <w:sz w:val="20"/>
                <w:szCs w:val="20"/>
                <w:color w:val="auto"/>
              </w:rPr>
            </w:pPr>
            <w:r>
              <w:rPr>
                <w:rFonts w:ascii="Times New Roman" w:cs="Times New Roman" w:eastAsia="Times New Roman" w:hAnsi="Times New Roman"/>
                <w:sz w:val="17"/>
                <w:szCs w:val="17"/>
                <w:b w:val="1"/>
                <w:bCs w:val="1"/>
                <w:color w:val="auto"/>
              </w:rPr>
              <w:t>2024 Base Salary</w:t>
            </w:r>
          </w:p>
        </w:tc>
        <w:tc>
          <w:tcPr>
            <w:tcW w:w="174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2025 Base Salary</w:t>
            </w:r>
          </w:p>
        </w:tc>
      </w:tr>
      <w:tr>
        <w:trPr>
          <w:trHeight w:val="38"/>
        </w:trPr>
        <w:tc>
          <w:tcPr>
            <w:tcW w:w="20" w:type="dxa"/>
            <w:vAlign w:val="bottom"/>
          </w:tcPr>
          <w:p>
            <w:pPr>
              <w:spacing w:after="0"/>
              <w:rPr>
                <w:sz w:val="3"/>
                <w:szCs w:val="3"/>
                <w:color w:val="auto"/>
              </w:rPr>
            </w:pPr>
          </w:p>
        </w:tc>
        <w:tc>
          <w:tcPr>
            <w:tcW w:w="692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69"/>
        </w:trPr>
        <w:tc>
          <w:tcPr>
            <w:tcW w:w="20" w:type="dxa"/>
            <w:vAlign w:val="bottom"/>
          </w:tcPr>
          <w:p>
            <w:pPr>
              <w:spacing w:after="0"/>
              <w:rPr>
                <w:sz w:val="23"/>
                <w:szCs w:val="23"/>
                <w:color w:val="auto"/>
              </w:rPr>
            </w:pPr>
          </w:p>
        </w:tc>
        <w:tc>
          <w:tcPr>
            <w:tcW w:w="6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J. Eric Evans</w:t>
            </w:r>
          </w:p>
        </w:tc>
        <w:tc>
          <w:tcPr>
            <w:tcW w:w="2560" w:type="dxa"/>
            <w:vAlign w:val="bottom"/>
            <w:tcBorders>
              <w:bottom w:val="single" w:sz="8" w:color="CCEEFF"/>
            </w:tcBorders>
            <w:shd w:val="clear" w:color="auto" w:fill="CCEEFF"/>
          </w:tcPr>
          <w:p>
            <w:pPr>
              <w:jc w:val="center"/>
              <w:ind w:left="654"/>
              <w:spacing w:after="0"/>
              <w:rPr>
                <w:sz w:val="20"/>
                <w:szCs w:val="20"/>
                <w:color w:val="auto"/>
              </w:rPr>
            </w:pPr>
            <w:r>
              <w:rPr>
                <w:rFonts w:ascii="Times New Roman" w:cs="Times New Roman" w:eastAsia="Times New Roman" w:hAnsi="Times New Roman"/>
                <w:sz w:val="17"/>
                <w:szCs w:val="17"/>
                <w:color w:val="auto"/>
              </w:rPr>
              <w:t>$1,050,000</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$1,050,000</w:t>
            </w:r>
          </w:p>
        </w:tc>
      </w:tr>
      <w:tr>
        <w:trPr>
          <w:trHeight w:val="258"/>
        </w:trPr>
        <w:tc>
          <w:tcPr>
            <w:tcW w:w="20" w:type="dxa"/>
            <w:vAlign w:val="bottom"/>
          </w:tcPr>
          <w:p>
            <w:pPr>
              <w:spacing w:after="0"/>
              <w:rPr>
                <w:sz w:val="22"/>
                <w:szCs w:val="22"/>
                <w:color w:val="auto"/>
              </w:rPr>
            </w:pPr>
          </w:p>
        </w:tc>
        <w:tc>
          <w:tcPr>
            <w:tcW w:w="6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David T. Doherty</w:t>
            </w:r>
          </w:p>
        </w:tc>
        <w:tc>
          <w:tcPr>
            <w:tcW w:w="2560" w:type="dxa"/>
            <w:vAlign w:val="bottom"/>
          </w:tcPr>
          <w:p>
            <w:pPr>
              <w:jc w:val="center"/>
              <w:ind w:left="674"/>
              <w:spacing w:after="0"/>
              <w:rPr>
                <w:sz w:val="20"/>
                <w:szCs w:val="20"/>
                <w:color w:val="auto"/>
              </w:rPr>
            </w:pPr>
            <w:r>
              <w:rPr>
                <w:rFonts w:ascii="Times New Roman" w:cs="Times New Roman" w:eastAsia="Times New Roman" w:hAnsi="Times New Roman"/>
                <w:sz w:val="17"/>
                <w:szCs w:val="17"/>
                <w:color w:val="auto"/>
              </w:rPr>
              <w:t>650,000</w:t>
            </w:r>
          </w:p>
        </w:tc>
        <w:tc>
          <w:tcPr>
            <w:tcW w:w="17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670,000</w:t>
            </w:r>
          </w:p>
        </w:tc>
      </w:tr>
      <w:tr>
        <w:trPr>
          <w:trHeight w:val="238"/>
        </w:trPr>
        <w:tc>
          <w:tcPr>
            <w:tcW w:w="20" w:type="dxa"/>
            <w:vAlign w:val="bottom"/>
          </w:tcPr>
          <w:p>
            <w:pPr>
              <w:spacing w:after="0"/>
              <w:rPr>
                <w:sz w:val="20"/>
                <w:szCs w:val="20"/>
                <w:color w:val="auto"/>
              </w:rPr>
            </w:pPr>
          </w:p>
        </w:tc>
        <w:tc>
          <w:tcPr>
            <w:tcW w:w="6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Jennifer B. Baldock</w:t>
            </w:r>
          </w:p>
        </w:tc>
        <w:tc>
          <w:tcPr>
            <w:tcW w:w="2560" w:type="dxa"/>
            <w:vAlign w:val="bottom"/>
            <w:tcBorders>
              <w:bottom w:val="single" w:sz="8" w:color="CCEEFF"/>
            </w:tcBorders>
            <w:shd w:val="clear" w:color="auto" w:fill="CCEEFF"/>
          </w:tcPr>
          <w:p>
            <w:pPr>
              <w:jc w:val="center"/>
              <w:ind w:left="674"/>
              <w:spacing w:after="0"/>
              <w:rPr>
                <w:sz w:val="20"/>
                <w:szCs w:val="20"/>
                <w:color w:val="auto"/>
              </w:rPr>
            </w:pPr>
            <w:r>
              <w:rPr>
                <w:rFonts w:ascii="Times New Roman" w:cs="Times New Roman" w:eastAsia="Times New Roman" w:hAnsi="Times New Roman"/>
                <w:sz w:val="17"/>
                <w:szCs w:val="17"/>
                <w:color w:val="auto"/>
              </w:rPr>
              <w:t>600,000</w:t>
            </w:r>
          </w:p>
        </w:tc>
        <w:tc>
          <w:tcPr>
            <w:tcW w:w="174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618,000</w:t>
            </w:r>
          </w:p>
        </w:tc>
      </w:tr>
      <w:tr>
        <w:trPr>
          <w:trHeight w:val="258"/>
        </w:trPr>
        <w:tc>
          <w:tcPr>
            <w:tcW w:w="20" w:type="dxa"/>
            <w:vAlign w:val="bottom"/>
          </w:tcPr>
          <w:p>
            <w:pPr>
              <w:spacing w:after="0"/>
              <w:rPr>
                <w:sz w:val="22"/>
                <w:szCs w:val="22"/>
                <w:color w:val="auto"/>
              </w:rPr>
            </w:pPr>
          </w:p>
        </w:tc>
        <w:tc>
          <w:tcPr>
            <w:tcW w:w="6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Marissa A. Brittenham</w:t>
            </w:r>
          </w:p>
        </w:tc>
        <w:tc>
          <w:tcPr>
            <w:tcW w:w="2560" w:type="dxa"/>
            <w:vAlign w:val="bottom"/>
          </w:tcPr>
          <w:p>
            <w:pPr>
              <w:jc w:val="center"/>
              <w:ind w:left="674"/>
              <w:spacing w:after="0"/>
              <w:rPr>
                <w:sz w:val="20"/>
                <w:szCs w:val="20"/>
                <w:color w:val="auto"/>
              </w:rPr>
            </w:pPr>
            <w:r>
              <w:rPr>
                <w:rFonts w:ascii="Times New Roman" w:cs="Times New Roman" w:eastAsia="Times New Roman" w:hAnsi="Times New Roman"/>
                <w:sz w:val="17"/>
                <w:szCs w:val="17"/>
                <w:color w:val="auto"/>
              </w:rPr>
              <w:t>500,000</w:t>
            </w:r>
          </w:p>
        </w:tc>
        <w:tc>
          <w:tcPr>
            <w:tcW w:w="17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515,000</w:t>
            </w:r>
          </w:p>
        </w:tc>
      </w:tr>
      <w:tr>
        <w:trPr>
          <w:trHeight w:val="258"/>
        </w:trPr>
        <w:tc>
          <w:tcPr>
            <w:tcW w:w="20" w:type="dxa"/>
            <w:vAlign w:val="bottom"/>
          </w:tcPr>
          <w:p>
            <w:pPr>
              <w:spacing w:after="0"/>
              <w:rPr>
                <w:sz w:val="22"/>
                <w:szCs w:val="22"/>
                <w:color w:val="auto"/>
              </w:rPr>
            </w:pPr>
          </w:p>
        </w:tc>
        <w:tc>
          <w:tcPr>
            <w:tcW w:w="6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 Trent Webb</w:t>
            </w:r>
          </w:p>
        </w:tc>
        <w:tc>
          <w:tcPr>
            <w:tcW w:w="256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7"/>
                <w:szCs w:val="17"/>
                <w:color w:val="auto"/>
              </w:rPr>
              <w:t>N/A</w:t>
            </w:r>
          </w:p>
        </w:tc>
        <w:tc>
          <w:tcPr>
            <w:tcW w:w="174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525,000</w:t>
            </w:r>
          </w:p>
        </w:tc>
      </w:tr>
      <w:tr>
        <w:trPr>
          <w:trHeight w:val="319"/>
        </w:trPr>
        <w:tc>
          <w:tcPr>
            <w:tcW w:w="20" w:type="dxa"/>
            <w:vAlign w:val="bottom"/>
          </w:tcPr>
          <w:p>
            <w:pPr>
              <w:spacing w:after="0"/>
              <w:rPr>
                <w:sz w:val="24"/>
                <w:szCs w:val="24"/>
                <w:color w:val="auto"/>
              </w:rPr>
            </w:pPr>
          </w:p>
        </w:tc>
        <w:tc>
          <w:tcPr>
            <w:tcW w:w="6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Harrison R. Bane </w:t>
            </w:r>
            <w:r>
              <w:rPr>
                <w:rFonts w:ascii="Times New Roman" w:cs="Times New Roman" w:eastAsia="Times New Roman" w:hAnsi="Times New Roman"/>
                <w:sz w:val="22"/>
                <w:szCs w:val="22"/>
                <w:color w:val="auto"/>
                <w:vertAlign w:val="superscript"/>
              </w:rPr>
              <w:t>(1)</w:t>
            </w:r>
          </w:p>
        </w:tc>
        <w:tc>
          <w:tcPr>
            <w:tcW w:w="2560" w:type="dxa"/>
            <w:vAlign w:val="bottom"/>
          </w:tcPr>
          <w:p>
            <w:pPr>
              <w:jc w:val="center"/>
              <w:ind w:left="674"/>
              <w:spacing w:after="0"/>
              <w:rPr>
                <w:sz w:val="20"/>
                <w:szCs w:val="20"/>
                <w:color w:val="auto"/>
              </w:rPr>
            </w:pPr>
            <w:r>
              <w:rPr>
                <w:rFonts w:ascii="Times New Roman" w:cs="Times New Roman" w:eastAsia="Times New Roman" w:hAnsi="Times New Roman"/>
                <w:sz w:val="17"/>
                <w:szCs w:val="17"/>
                <w:color w:val="auto"/>
              </w:rPr>
              <w:t>565,000</w:t>
            </w:r>
          </w:p>
        </w:tc>
        <w:tc>
          <w:tcPr>
            <w:tcW w:w="17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600,000</w:t>
            </w: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_______</w:t>
            </w:r>
          </w:p>
        </w:tc>
        <w:tc>
          <w:tcPr>
            <w:tcW w:w="25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1"/>
        </w:trPr>
        <w:tc>
          <w:tcPr>
            <w:tcW w:w="6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 Mr. Bane resigned as our President, National Group effective October 3, 2025.</w:t>
            </w:r>
          </w:p>
        </w:tc>
        <w:tc>
          <w:tcPr>
            <w:tcW w:w="25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6920" w:type="dxa"/>
            <w:vAlign w:val="bottom"/>
          </w:tcPr>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Short-Term Incentive Awards</w:t>
            </w:r>
          </w:p>
        </w:tc>
        <w:tc>
          <w:tcPr>
            <w:tcW w:w="25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2" w:lineRule="exact"/>
        <w:rPr>
          <w:sz w:val="20"/>
          <w:szCs w:val="20"/>
          <w:color w:val="auto"/>
        </w:rPr>
      </w:pPr>
    </w:p>
    <w:p>
      <w:pPr>
        <w:ind w:right="40" w:firstLine="309"/>
        <w:spacing w:after="0" w:line="249" w:lineRule="auto"/>
        <w:rPr>
          <w:sz w:val="20"/>
          <w:szCs w:val="20"/>
          <w:color w:val="auto"/>
        </w:rPr>
      </w:pPr>
      <w:r>
        <w:rPr>
          <w:rFonts w:ascii="Times New Roman" w:cs="Times New Roman" w:eastAsia="Times New Roman" w:hAnsi="Times New Roman"/>
          <w:sz w:val="17"/>
          <w:szCs w:val="17"/>
          <w:color w:val="auto"/>
        </w:rPr>
        <w:t>The Company maintains the Cash Incentive Plan under which our Compensation Committee determines annual cash incentives for the Company's key employees, including our NEOs, based on achievement of pre-established annual financial goals. We provide an annual award opportunity under the Cash Incentive Plan in order to tie a significant part of the overall compensation of each of our executive officers to short-term corporate goals and objectives. Payments under the Cash Incentive Plan can be paid in cash or in common stock issued under the 2025 Incentive Plan (or the 2015 Incentive Plan prior to approval of the 2025 Incentive Plan).</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2025 Awards</w:t>
      </w:r>
    </w:p>
    <w:p>
      <w:pPr>
        <w:spacing w:after="0" w:line="234" w:lineRule="exact"/>
        <w:rPr>
          <w:sz w:val="20"/>
          <w:szCs w:val="20"/>
          <w:color w:val="auto"/>
        </w:rPr>
      </w:pPr>
    </w:p>
    <w:p>
      <w:pPr>
        <w:ind w:right="160" w:firstLine="309"/>
        <w:spacing w:after="0" w:line="262" w:lineRule="auto"/>
        <w:rPr>
          <w:sz w:val="20"/>
          <w:szCs w:val="20"/>
          <w:color w:val="auto"/>
        </w:rPr>
      </w:pPr>
      <w:r>
        <w:rPr>
          <w:rFonts w:ascii="Times New Roman" w:cs="Times New Roman" w:eastAsia="Times New Roman" w:hAnsi="Times New Roman"/>
          <w:sz w:val="17"/>
          <w:szCs w:val="17"/>
          <w:color w:val="auto"/>
        </w:rPr>
        <w:t>The target bonus opportunity for each of our NEOs is based on a percentage of base salary, is established based on each NEO's respective level of management responsibility and is based on the achievement of certain established goals. For 2025, the target bonus opportunity as a percentage of base salary for each of our NEOs was as follows: Mr. Evans - 120%, Mr. Doherty - 100%, Ms. Baldock - 100%, Ms. Brittenham - 70%, Mr. Webb - 60% and Mr. Bane - 70%.</w:t>
      </w:r>
    </w:p>
    <w:p>
      <w:pPr>
        <w:spacing w:after="0" w:line="185" w:lineRule="exact"/>
        <w:rPr>
          <w:sz w:val="20"/>
          <w:szCs w:val="20"/>
          <w:color w:val="auto"/>
        </w:rPr>
      </w:pPr>
    </w:p>
    <w:p>
      <w:pPr>
        <w:ind w:right="100" w:firstLine="309"/>
        <w:spacing w:after="0" w:line="246" w:lineRule="auto"/>
        <w:rPr>
          <w:sz w:val="20"/>
          <w:szCs w:val="20"/>
          <w:color w:val="auto"/>
        </w:rPr>
      </w:pPr>
      <w:r>
        <w:rPr>
          <w:rFonts w:ascii="Times New Roman" w:cs="Times New Roman" w:eastAsia="Times New Roman" w:hAnsi="Times New Roman"/>
          <w:sz w:val="17"/>
          <w:szCs w:val="17"/>
          <w:color w:val="auto"/>
        </w:rPr>
        <w:t>For 2025, the Compensation Committee determined that the primary financial metrics to be measured for purposes of determining the annual cash awards payable to our NEOs would be as follows: 70% of the award would be based on Adjusted EBITDA, 15% of the award would be based on the Company's Net Revenue and 15% of the award would be based on the Company's cash flow metrics (calculated as cash flow provided by operating activities, less distributions to non-controlling interest holders and less maintenance capital expenditures, which are capital expenditures primarily to maintain our existing facilities), except as described below for certain of our NEOs. In February 2025, the Compensation Committee established 2025 Adjusted EBITDA, Net Revenue and cash flow performance levels. Performance levels were set relative to the prior fiscal year's actual results and current fiscal year projections and are subject to adjustment based on in-year acquisitions and divestitures. The threshold performance level is the minimum performance level required for a payout under the Cash Incentive Plan, and the maximum performance level is the maximum payout. Performance targets are set with the intent that achievement will enhance stockholder value.</w:t>
      </w:r>
    </w:p>
    <w:p>
      <w:pPr>
        <w:spacing w:after="0" w:line="215" w:lineRule="exact"/>
        <w:rPr>
          <w:sz w:val="20"/>
          <w:szCs w:val="20"/>
          <w:color w:val="auto"/>
        </w:rPr>
      </w:pPr>
    </w:p>
    <w:p>
      <w:pPr>
        <w:ind w:right="60" w:firstLine="309"/>
        <w:spacing w:after="0" w:line="247" w:lineRule="auto"/>
        <w:rPr>
          <w:sz w:val="20"/>
          <w:szCs w:val="20"/>
          <w:color w:val="auto"/>
        </w:rPr>
      </w:pPr>
      <w:r>
        <w:rPr>
          <w:rFonts w:ascii="Times New Roman" w:cs="Times New Roman" w:eastAsia="Times New Roman" w:hAnsi="Times New Roman"/>
          <w:sz w:val="17"/>
          <w:szCs w:val="17"/>
          <w:color w:val="auto"/>
        </w:rPr>
        <w:t>If the Company's Adjusted EBITDA, Net Revenue and cash flow for the year ended December 31, 2025 was equal to or greater than the threshold for each metric, but less than the target range for each metric, then the percentage of the target award related to Adjusted EBITDA, Net Revenue and cash flow that may be earned will be determined using a straight line interpolation between 25% and 100% of the target award for each metric. Additionally, up to 200% of the target award related to Adjusted EBITDA, Net Revenue and cash flow can be earned depending on the extent to which the Company's Adjusted EBITDA, Net Revenue and cash flow exceeds the target for each metric. If the Company's Adjusted EBITDA, Net Revenue or cash flow was less than the applicable threshold for such metric, then the portion of the cash incentive award related to such metric would not be earned.</w:t>
      </w:r>
    </w:p>
    <w:p>
      <w:pPr>
        <w:spacing w:after="0" w:line="211" w:lineRule="exact"/>
        <w:rPr>
          <w:sz w:val="20"/>
          <w:szCs w:val="20"/>
          <w:color w:val="auto"/>
        </w:rPr>
      </w:pPr>
    </w:p>
    <w:p>
      <w:pPr>
        <w:ind w:right="20" w:firstLine="309"/>
        <w:spacing w:after="0" w:line="249" w:lineRule="auto"/>
        <w:rPr>
          <w:sz w:val="20"/>
          <w:szCs w:val="20"/>
          <w:color w:val="auto"/>
        </w:rPr>
      </w:pPr>
      <w:r>
        <w:rPr>
          <w:rFonts w:ascii="Times New Roman" w:cs="Times New Roman" w:eastAsia="Times New Roman" w:hAnsi="Times New Roman"/>
          <w:sz w:val="17"/>
          <w:szCs w:val="17"/>
          <w:color w:val="auto"/>
        </w:rPr>
        <w:t>Each of Mr. Evans', Mr. Doherty's, Ms. Baldock's and Ms. Brittenham's target bonus opportunity for 2025 is earned solely based on the Company's Adjusted EBITDA, Net Revenue and cash flow performance goals. With respect to Mr. Bane's and Mr. Webb's target bonus opportunity for 2025, 50% is earned based on the Company’s Adjusted EBITDA, Net Revenue and cash flow performance as described above and 50% is earned based on the achievement of performance goals specific to the portion of operations for which Mr. Bane and Mr. Webb oversee. Additionally, with respect to the 50% portion of the cash incentive award related to Mr. Bane's and Mr. Webb's performance-specific target, no cash incentive award may be earned if at least 25% of the target is not achieved.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140" w:firstLine="309"/>
        <w:spacing w:after="0" w:line="262" w:lineRule="auto"/>
        <w:rPr>
          <w:sz w:val="20"/>
          <w:szCs w:val="20"/>
          <w:color w:val="auto"/>
        </w:rPr>
      </w:pPr>
      <w:r>
        <w:rPr>
          <w:rFonts w:ascii="Times New Roman" w:cs="Times New Roman" w:eastAsia="Times New Roman" w:hAnsi="Times New Roman"/>
          <w:sz w:val="17"/>
          <w:szCs w:val="17"/>
          <w:color w:val="auto"/>
        </w:rPr>
        <w:t>For 2025, the Company's Net Revenue was more than the threshold, but less than the target range, and both Adjusted EBITDA and cash flow metrics were less than the threshold. After evaluating the Company's 2025 performance, the Compensation Committee determined that no cash incentive award was earned for 2025.</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Long-Term Incentive Awards</w:t>
      </w:r>
    </w:p>
    <w:p>
      <w:pPr>
        <w:spacing w:after="0" w:line="159"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Our long-term equity incentive program is designed to reward our NEOs for Company performance, drive sustainable, long-term growth for our Company and our stockholders, and reinforce retention.</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2025 Annual Awards</w:t>
      </w:r>
    </w:p>
    <w:p>
      <w:pPr>
        <w:spacing w:after="0" w:line="157" w:lineRule="exact"/>
        <w:rPr>
          <w:sz w:val="20"/>
          <w:szCs w:val="20"/>
          <w:color w:val="auto"/>
        </w:rPr>
      </w:pPr>
    </w:p>
    <w:p>
      <w:pPr>
        <w:ind w:right="660" w:firstLine="309"/>
        <w:spacing w:after="0" w:line="287" w:lineRule="auto"/>
        <w:rPr>
          <w:sz w:val="20"/>
          <w:szCs w:val="20"/>
          <w:color w:val="auto"/>
        </w:rPr>
      </w:pPr>
      <w:r>
        <w:rPr>
          <w:rFonts w:ascii="Times New Roman" w:cs="Times New Roman" w:eastAsia="Times New Roman" w:hAnsi="Times New Roman"/>
          <w:sz w:val="17"/>
          <w:szCs w:val="17"/>
          <w:color w:val="auto"/>
        </w:rPr>
        <w:t>Each of our NEOs received equity grants in 2025 under the 2015 Incentive Plan prior to the adoption of the 2025 Incentive Plan. Except as otherwise described herein, the long-term incentive award opportunity for each of our NEOs for 2025 is shown in the table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60" w:type="dxa"/>
            <w:vAlign w:val="bottom"/>
          </w:tcPr>
          <w:p>
            <w:pPr>
              <w:spacing w:after="0"/>
              <w:rPr>
                <w:sz w:val="19"/>
                <w:szCs w:val="19"/>
                <w:color w:val="auto"/>
              </w:rPr>
            </w:pPr>
          </w:p>
        </w:tc>
        <w:tc>
          <w:tcPr>
            <w:tcW w:w="3520" w:type="dxa"/>
            <w:vAlign w:val="bottom"/>
            <w:gridSpan w:val="2"/>
          </w:tcPr>
          <w:p>
            <w:pPr>
              <w:ind w:left="660"/>
              <w:spacing w:after="0"/>
              <w:rPr>
                <w:sz w:val="20"/>
                <w:szCs w:val="20"/>
                <w:color w:val="auto"/>
              </w:rPr>
            </w:pPr>
            <w:r>
              <w:rPr>
                <w:rFonts w:ascii="Times New Roman" w:cs="Times New Roman" w:eastAsia="Times New Roman" w:hAnsi="Times New Roman"/>
                <w:sz w:val="17"/>
                <w:szCs w:val="17"/>
                <w:b w:val="1"/>
                <w:bCs w:val="1"/>
                <w:color w:val="auto"/>
              </w:rPr>
              <w:t>Time-based restricted stock</w:t>
            </w:r>
          </w:p>
        </w:tc>
        <w:tc>
          <w:tcPr>
            <w:tcW w:w="3160" w:type="dxa"/>
            <w:vAlign w:val="bottom"/>
            <w:gridSpan w:val="2"/>
          </w:tcPr>
          <w:p>
            <w:pPr>
              <w:ind w:left="740"/>
              <w:spacing w:after="0"/>
              <w:rPr>
                <w:sz w:val="20"/>
                <w:szCs w:val="20"/>
                <w:color w:val="auto"/>
              </w:rPr>
            </w:pPr>
            <w:r>
              <w:rPr>
                <w:rFonts w:ascii="Times New Roman" w:cs="Times New Roman" w:eastAsia="Times New Roman" w:hAnsi="Times New Roman"/>
                <w:sz w:val="17"/>
                <w:szCs w:val="17"/>
                <w:b w:val="1"/>
                <w:bCs w:val="1"/>
                <w:color w:val="auto"/>
              </w:rPr>
              <w:t>PSUs (at Threshold)</w:t>
            </w:r>
          </w:p>
        </w:tc>
        <w:tc>
          <w:tcPr>
            <w:tcW w:w="0" w:type="dxa"/>
            <w:vAlign w:val="bottom"/>
          </w:tcPr>
          <w:p>
            <w:pPr>
              <w:spacing w:after="0"/>
              <w:rPr>
                <w:sz w:val="1"/>
                <w:szCs w:val="1"/>
                <w:color w:val="auto"/>
              </w:rPr>
            </w:pPr>
          </w:p>
        </w:tc>
      </w:tr>
      <w:tr>
        <w:trPr>
          <w:trHeight w:val="38"/>
        </w:trPr>
        <w:tc>
          <w:tcPr>
            <w:tcW w:w="456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4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1480" w:type="dxa"/>
            <w:vAlign w:val="bottom"/>
            <w:vMerge w:val="restart"/>
          </w:tcPr>
          <w:p>
            <w:pPr>
              <w:ind w:left="580"/>
              <w:spacing w:after="0"/>
              <w:rPr>
                <w:sz w:val="20"/>
                <w:szCs w:val="20"/>
                <w:color w:val="auto"/>
              </w:rPr>
            </w:pPr>
            <w:r>
              <w:rPr>
                <w:rFonts w:ascii="Times New Roman" w:cs="Times New Roman" w:eastAsia="Times New Roman" w:hAnsi="Times New Roman"/>
                <w:sz w:val="17"/>
                <w:szCs w:val="17"/>
                <w:b w:val="1"/>
                <w:bCs w:val="1"/>
                <w:color w:val="auto"/>
              </w:rPr>
              <w:t>$ value</w:t>
            </w:r>
          </w:p>
        </w:tc>
        <w:tc>
          <w:tcPr>
            <w:tcW w:w="204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w w:val="99"/>
              </w:rPr>
              <w:t># shares of common</w:t>
            </w:r>
          </w:p>
        </w:tc>
        <w:tc>
          <w:tcPr>
            <w:tcW w:w="1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b w:val="1"/>
                <w:bCs w:val="1"/>
                <w:color w:val="auto"/>
              </w:rPr>
              <w:t>$ value</w:t>
            </w:r>
          </w:p>
        </w:tc>
        <w:tc>
          <w:tcPr>
            <w:tcW w:w="1640" w:type="dxa"/>
            <w:vAlign w:val="bottom"/>
            <w:vMerge w:val="restart"/>
          </w:tcPr>
          <w:p>
            <w:pPr>
              <w:ind w:left="560"/>
              <w:spacing w:after="0"/>
              <w:rPr>
                <w:sz w:val="20"/>
                <w:szCs w:val="20"/>
                <w:color w:val="auto"/>
              </w:rPr>
            </w:pPr>
            <w:r>
              <w:rPr>
                <w:rFonts w:ascii="Times New Roman" w:cs="Times New Roman" w:eastAsia="Times New Roman" w:hAnsi="Times New Roman"/>
                <w:sz w:val="17"/>
                <w:szCs w:val="17"/>
                <w:b w:val="1"/>
                <w:bCs w:val="1"/>
                <w:color w:val="auto"/>
              </w:rPr>
              <w:t># units</w:t>
            </w:r>
          </w:p>
        </w:tc>
        <w:tc>
          <w:tcPr>
            <w:tcW w:w="0" w:type="dxa"/>
            <w:vAlign w:val="bottom"/>
          </w:tcPr>
          <w:p>
            <w:pPr>
              <w:spacing w:after="0"/>
              <w:rPr>
                <w:sz w:val="1"/>
                <w:szCs w:val="1"/>
                <w:color w:val="auto"/>
              </w:rPr>
            </w:pPr>
          </w:p>
        </w:tc>
      </w:tr>
      <w:tr>
        <w:trPr>
          <w:trHeight w:val="227"/>
        </w:trPr>
        <w:tc>
          <w:tcPr>
            <w:tcW w:w="456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52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4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J. Eric Evans</w:t>
            </w:r>
          </w:p>
        </w:tc>
        <w:tc>
          <w:tcPr>
            <w:tcW w:w="148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w w:val="99"/>
              </w:rPr>
              <w:t>2,000,000</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84,033</w:t>
            </w:r>
          </w:p>
        </w:tc>
        <w:tc>
          <w:tcPr>
            <w:tcW w:w="152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7"/>
                <w:szCs w:val="17"/>
                <w:color w:val="auto"/>
                <w:w w:val="99"/>
              </w:rPr>
              <w:t>3,000,000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126,050</w:t>
            </w:r>
          </w:p>
        </w:tc>
        <w:tc>
          <w:tcPr>
            <w:tcW w:w="0" w:type="dxa"/>
            <w:vAlign w:val="bottom"/>
          </w:tcPr>
          <w:p>
            <w:pPr>
              <w:spacing w:after="0"/>
              <w:rPr>
                <w:sz w:val="1"/>
                <w:szCs w:val="1"/>
                <w:color w:val="auto"/>
              </w:rPr>
            </w:pPr>
          </w:p>
        </w:tc>
      </w:tr>
      <w:tr>
        <w:trPr>
          <w:trHeight w:val="219"/>
        </w:trPr>
        <w:tc>
          <w:tcPr>
            <w:tcW w:w="4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David T. Doherty</w:t>
            </w:r>
          </w:p>
        </w:tc>
        <w:tc>
          <w:tcPr>
            <w:tcW w:w="148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800,000</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33,613</w:t>
            </w:r>
          </w:p>
        </w:tc>
        <w:tc>
          <w:tcPr>
            <w:tcW w:w="152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9"/>
              </w:rPr>
              <w:t>1,200,000</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50,420</w:t>
            </w:r>
          </w:p>
        </w:tc>
        <w:tc>
          <w:tcPr>
            <w:tcW w:w="0" w:type="dxa"/>
            <w:vAlign w:val="bottom"/>
          </w:tcPr>
          <w:p>
            <w:pPr>
              <w:spacing w:after="0"/>
              <w:rPr>
                <w:sz w:val="1"/>
                <w:szCs w:val="1"/>
                <w:color w:val="auto"/>
              </w:rPr>
            </w:pPr>
          </w:p>
        </w:tc>
      </w:tr>
      <w:tr>
        <w:trPr>
          <w:trHeight w:val="258"/>
        </w:trPr>
        <w:tc>
          <w:tcPr>
            <w:tcW w:w="4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Jennifer B. Baldock</w:t>
            </w:r>
          </w:p>
        </w:tc>
        <w:tc>
          <w:tcPr>
            <w:tcW w:w="148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600,000</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25,210</w:t>
            </w:r>
          </w:p>
        </w:tc>
        <w:tc>
          <w:tcPr>
            <w:tcW w:w="152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7"/>
                <w:szCs w:val="17"/>
                <w:color w:val="auto"/>
              </w:rPr>
              <w:t>900,000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37,815</w:t>
            </w:r>
          </w:p>
        </w:tc>
        <w:tc>
          <w:tcPr>
            <w:tcW w:w="0" w:type="dxa"/>
            <w:vAlign w:val="bottom"/>
          </w:tcPr>
          <w:p>
            <w:pPr>
              <w:spacing w:after="0"/>
              <w:rPr>
                <w:sz w:val="1"/>
                <w:szCs w:val="1"/>
                <w:color w:val="auto"/>
              </w:rPr>
            </w:pPr>
          </w:p>
        </w:tc>
      </w:tr>
      <w:tr>
        <w:trPr>
          <w:trHeight w:val="219"/>
        </w:trPr>
        <w:tc>
          <w:tcPr>
            <w:tcW w:w="4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Marissa A. Brittenham</w:t>
            </w:r>
          </w:p>
        </w:tc>
        <w:tc>
          <w:tcPr>
            <w:tcW w:w="148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240,000</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10,084</w:t>
            </w:r>
          </w:p>
        </w:tc>
        <w:tc>
          <w:tcPr>
            <w:tcW w:w="152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360,000</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15,126</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 Trent Webb</w:t>
            </w:r>
          </w:p>
        </w:tc>
        <w:tc>
          <w:tcPr>
            <w:tcW w:w="148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300,000</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12,605</w:t>
            </w:r>
          </w:p>
        </w:tc>
        <w:tc>
          <w:tcPr>
            <w:tcW w:w="152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7"/>
                <w:szCs w:val="17"/>
                <w:color w:val="auto"/>
              </w:rPr>
              <w:t>450,000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18,907</w:t>
            </w:r>
          </w:p>
        </w:tc>
        <w:tc>
          <w:tcPr>
            <w:tcW w:w="0" w:type="dxa"/>
            <w:vAlign w:val="bottom"/>
          </w:tcPr>
          <w:p>
            <w:pPr>
              <w:spacing w:after="0"/>
              <w:rPr>
                <w:sz w:val="1"/>
                <w:szCs w:val="1"/>
                <w:color w:val="auto"/>
              </w:rPr>
            </w:pPr>
          </w:p>
        </w:tc>
      </w:tr>
      <w:tr>
        <w:trPr>
          <w:trHeight w:val="295"/>
        </w:trPr>
        <w:tc>
          <w:tcPr>
            <w:tcW w:w="4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Harrison R. Bane </w:t>
            </w:r>
            <w:r>
              <w:rPr>
                <w:rFonts w:ascii="Times New Roman" w:cs="Times New Roman" w:eastAsia="Times New Roman" w:hAnsi="Times New Roman"/>
                <w:sz w:val="22"/>
                <w:szCs w:val="22"/>
                <w:color w:val="auto"/>
                <w:vertAlign w:val="superscript"/>
              </w:rPr>
              <w:t>(1)</w:t>
            </w:r>
          </w:p>
        </w:tc>
        <w:tc>
          <w:tcPr>
            <w:tcW w:w="148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410,000</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17,226</w:t>
            </w:r>
          </w:p>
        </w:tc>
        <w:tc>
          <w:tcPr>
            <w:tcW w:w="152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615,000</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25,840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7"/>
          <w:szCs w:val="17"/>
          <w:color w:val="auto"/>
        </w:rPr>
        <w:t>_______</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Mr. Bane resigned as our President, National Group effective October 3, 2025.</w:t>
      </w:r>
    </w:p>
    <w:p>
      <w:pPr>
        <w:spacing w:after="0" w:line="191" w:lineRule="exact"/>
        <w:rPr>
          <w:sz w:val="20"/>
          <w:szCs w:val="20"/>
          <w:color w:val="auto"/>
        </w:rPr>
      </w:pPr>
    </w:p>
    <w:p>
      <w:pPr>
        <w:ind w:right="60" w:firstLine="309"/>
        <w:spacing w:after="0" w:line="287" w:lineRule="auto"/>
        <w:rPr>
          <w:sz w:val="20"/>
          <w:szCs w:val="20"/>
          <w:color w:val="auto"/>
        </w:rPr>
      </w:pPr>
      <w:r>
        <w:rPr>
          <w:rFonts w:ascii="Times New Roman" w:cs="Times New Roman" w:eastAsia="Times New Roman" w:hAnsi="Times New Roman"/>
          <w:sz w:val="17"/>
          <w:szCs w:val="17"/>
          <w:color w:val="auto"/>
        </w:rPr>
        <w:t>For our annual grants in 2025, the Compensation Committee generally determined that 40% of the grant date value to be delivered under the Company's long-term equity incentive program would consist of time-based restricted stock and the remaining 60% would consist of Performance Stock Units ("PSUs").</w:t>
      </w:r>
    </w:p>
    <w:p>
      <w:pPr>
        <w:spacing w:after="0" w:line="164" w:lineRule="exact"/>
        <w:rPr>
          <w:sz w:val="20"/>
          <w:szCs w:val="20"/>
          <w:color w:val="auto"/>
        </w:rPr>
      </w:pPr>
    </w:p>
    <w:p>
      <w:pPr>
        <w:ind w:right="500" w:firstLine="309"/>
        <w:spacing w:after="0" w:line="262" w:lineRule="auto"/>
        <w:rPr>
          <w:sz w:val="20"/>
          <w:szCs w:val="20"/>
          <w:color w:val="auto"/>
        </w:rPr>
      </w:pPr>
      <w:r>
        <w:rPr>
          <w:rFonts w:ascii="Times New Roman" w:cs="Times New Roman" w:eastAsia="Times New Roman" w:hAnsi="Times New Roman"/>
          <w:sz w:val="17"/>
          <w:szCs w:val="17"/>
          <w:color w:val="auto"/>
        </w:rPr>
        <w:t>The time-based restricted stock awards vest in increments of one-third on each of the first, second and third anniversaries of the date of grant, generally subject to the executive's continued employment. The Compensation Committee believes that grants of time-based restricted stock foster employee share ownership, align the interests of our NEOs with those of our stockholders, and enhance retention by requiring continued employment over a period of years.</w:t>
      </w:r>
    </w:p>
    <w:p>
      <w:pPr>
        <w:spacing w:after="0" w:line="185" w:lineRule="exact"/>
        <w:rPr>
          <w:sz w:val="20"/>
          <w:szCs w:val="20"/>
          <w:color w:val="auto"/>
        </w:rPr>
      </w:pPr>
    </w:p>
    <w:p>
      <w:pPr>
        <w:ind w:right="80" w:firstLine="309"/>
        <w:spacing w:after="0" w:line="271" w:lineRule="auto"/>
        <w:rPr>
          <w:sz w:val="20"/>
          <w:szCs w:val="20"/>
          <w:color w:val="auto"/>
        </w:rPr>
      </w:pPr>
      <w:r>
        <w:rPr>
          <w:rFonts w:ascii="Times New Roman" w:cs="Times New Roman" w:eastAsia="Times New Roman" w:hAnsi="Times New Roman"/>
          <w:sz w:val="17"/>
          <w:szCs w:val="17"/>
          <w:color w:val="auto"/>
        </w:rPr>
        <w:t>The PSUs provide our NEOs with the opportunity to earn a specified number of shares of common stock based on a one-time vesting on the third anniversary of the grant date if certain performance criterion is achieved during the three-year period. This creates a three-year incentive and alignment period.</w:t>
      </w:r>
    </w:p>
    <w:p>
      <w:pPr>
        <w:spacing w:after="0" w:line="190" w:lineRule="exact"/>
        <w:rPr>
          <w:sz w:val="20"/>
          <w:szCs w:val="20"/>
          <w:color w:val="auto"/>
        </w:rPr>
      </w:pPr>
    </w:p>
    <w:p>
      <w:pPr>
        <w:ind w:right="60" w:firstLine="309"/>
        <w:spacing w:after="0" w:line="248" w:lineRule="auto"/>
        <w:rPr>
          <w:sz w:val="20"/>
          <w:szCs w:val="20"/>
          <w:color w:val="auto"/>
        </w:rPr>
      </w:pPr>
      <w:r>
        <w:rPr>
          <w:rFonts w:ascii="Times New Roman" w:cs="Times New Roman" w:eastAsia="Times New Roman" w:hAnsi="Times New Roman"/>
          <w:sz w:val="17"/>
          <w:szCs w:val="17"/>
          <w:color w:val="auto"/>
        </w:rPr>
        <w:t>For the PSUs awarded during 2025, the Compensation Committee set the threshold performance level as Adjusted EBITDA of $658 million by December 31, 2027 (the “Performance Period End Date”). If Adjusted EBITDA on the Performance Period End Date is equal to or greater than $658 million, but less than $695 million, then 100% of the award may be earned. If Adjusted EBITDA on the Performance Period End Date is equal to or greater than $695 million, but less than $733 million, then 200% of the award may be earned. If Adjusted EBITDA is $733 million or more on the Performance Period End Date, then 300% of the award may be earned. The percentage of the award that is earned is subject to potential positive or negative modification by 20% based on the Company's Total Stockholder Return ("TSR") during the performance period. No shares are earned for performance below threshold. The number of shares earned by the NEOs pursuant to the PSUs awarded during 2025 will not be determinable until the Performance Period End Date.</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Retirement and Welfare Benefits and Perquisites</w:t>
      </w:r>
    </w:p>
    <w:p>
      <w:pPr>
        <w:spacing w:after="0" w:line="236" w:lineRule="exact"/>
        <w:rPr>
          <w:sz w:val="20"/>
          <w:szCs w:val="20"/>
          <w:color w:val="auto"/>
        </w:rPr>
      </w:pPr>
    </w:p>
    <w:p>
      <w:pPr>
        <w:ind w:right="180" w:firstLine="309"/>
        <w:spacing w:after="0" w:line="262" w:lineRule="auto"/>
        <w:rPr>
          <w:sz w:val="20"/>
          <w:szCs w:val="20"/>
          <w:color w:val="auto"/>
        </w:rPr>
      </w:pPr>
      <w:r>
        <w:rPr>
          <w:rFonts w:ascii="Times New Roman" w:cs="Times New Roman" w:eastAsia="Times New Roman" w:hAnsi="Times New Roman"/>
          <w:sz w:val="17"/>
          <w:szCs w:val="17"/>
          <w:color w:val="auto"/>
        </w:rPr>
        <w:t>All of our full-time employees, including our NEOs, are eligible to participate in our health and welfare plans, including medical, dental, vision, life and disability insurance. Our NEOs participate in these plans on the same basis as other eligible employees. We do not maintain any supplemental health and welfare plans for our NEOs.</w:t>
      </w:r>
    </w:p>
    <w:p>
      <w:pPr>
        <w:spacing w:after="0" w:line="185" w:lineRule="exact"/>
        <w:rPr>
          <w:sz w:val="20"/>
          <w:szCs w:val="20"/>
          <w:color w:val="auto"/>
        </w:rPr>
      </w:pPr>
    </w:p>
    <w:p>
      <w:pPr>
        <w:ind w:right="120" w:firstLine="309"/>
        <w:spacing w:after="0" w:line="262" w:lineRule="auto"/>
        <w:rPr>
          <w:sz w:val="20"/>
          <w:szCs w:val="20"/>
          <w:color w:val="auto"/>
        </w:rPr>
      </w:pPr>
      <w:r>
        <w:rPr>
          <w:rFonts w:ascii="Times New Roman" w:cs="Times New Roman" w:eastAsia="Times New Roman" w:hAnsi="Times New Roman"/>
          <w:sz w:val="17"/>
          <w:szCs w:val="17"/>
          <w:color w:val="auto"/>
        </w:rPr>
        <w:t>In addition, the Company maintains a 401(k) plan in which eligible employees are permitted to participate. The Company’s 401(k) plan is a tax-qualified defined contribution retirement plan under which eligible employees may defer their eligible compensation, subject to the limits imposed by the Internal Revenue Code, and under which the Company may make discretionary matching contributions.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160" w:firstLine="309"/>
        <w:spacing w:after="0" w:line="262" w:lineRule="auto"/>
        <w:rPr>
          <w:sz w:val="20"/>
          <w:szCs w:val="20"/>
          <w:color w:val="auto"/>
        </w:rPr>
      </w:pPr>
      <w:r>
        <w:rPr>
          <w:rFonts w:ascii="Times New Roman" w:cs="Times New Roman" w:eastAsia="Times New Roman" w:hAnsi="Times New Roman"/>
          <w:sz w:val="17"/>
          <w:szCs w:val="17"/>
          <w:color w:val="auto"/>
        </w:rPr>
        <w:t>We also maintain the SP Management Services, Inc. Nonqualified Deferred Compensation Plan (the "NQDC"), in which eligible employees are permitted to participate. Under the NQDC, participants may elect to defer up to 50% of annual base salary and up to 90% of bonus each year. Under the NQDC the Company may also make discretionary matching contributions.</w:t>
      </w:r>
    </w:p>
    <w:p>
      <w:pPr>
        <w:spacing w:after="0" w:line="185" w:lineRule="exact"/>
        <w:rPr>
          <w:sz w:val="20"/>
          <w:szCs w:val="20"/>
          <w:color w:val="auto"/>
        </w:rPr>
      </w:pPr>
    </w:p>
    <w:p>
      <w:pPr>
        <w:ind w:right="200" w:firstLine="309"/>
        <w:spacing w:after="0" w:line="271" w:lineRule="auto"/>
        <w:rPr>
          <w:sz w:val="20"/>
          <w:szCs w:val="20"/>
          <w:color w:val="auto"/>
        </w:rPr>
      </w:pPr>
      <w:r>
        <w:rPr>
          <w:rFonts w:ascii="Times New Roman" w:cs="Times New Roman" w:eastAsia="Times New Roman" w:hAnsi="Times New Roman"/>
          <w:sz w:val="17"/>
          <w:szCs w:val="17"/>
          <w:color w:val="auto"/>
        </w:rPr>
        <w:t>We previously maintained the Symbion, Inc. Supplemental Executive Retirement Plan (the "SERP"), a nonqualified deferred compensation plan, for certain former management of Symbion, Inc., including Ms. Baldock. During 2025, the SERP was discontinued.</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Severance Arrangements</w:t>
      </w:r>
    </w:p>
    <w:p>
      <w:pPr>
        <w:spacing w:after="0" w:line="236" w:lineRule="exact"/>
        <w:rPr>
          <w:sz w:val="20"/>
          <w:szCs w:val="20"/>
          <w:color w:val="auto"/>
        </w:rPr>
      </w:pPr>
    </w:p>
    <w:p>
      <w:pPr>
        <w:ind w:right="180" w:firstLine="309"/>
        <w:spacing w:after="0" w:line="262" w:lineRule="auto"/>
        <w:rPr>
          <w:sz w:val="20"/>
          <w:szCs w:val="20"/>
          <w:color w:val="auto"/>
        </w:rPr>
      </w:pPr>
      <w:r>
        <w:rPr>
          <w:rFonts w:ascii="Times New Roman" w:cs="Times New Roman" w:eastAsia="Times New Roman" w:hAnsi="Times New Roman"/>
          <w:sz w:val="17"/>
          <w:szCs w:val="17"/>
          <w:color w:val="auto"/>
        </w:rPr>
        <w:t>The Company provides severance protection to each of our NEOs pursuant to employment agreements in the event that his or her employment is terminated by the Company without cause or he or she resigns for good reason. For a description of the severance protections provided to our NEOs please see "Executive Compensation - Potential Payments upon Termination or Change in Control"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Non-GAAP Financial Metrics in our Executive Compensation Program</w:t>
      </w:r>
    </w:p>
    <w:p>
      <w:pPr>
        <w:spacing w:after="0" w:line="234" w:lineRule="exact"/>
        <w:rPr>
          <w:sz w:val="20"/>
          <w:szCs w:val="20"/>
          <w:color w:val="auto"/>
        </w:rPr>
      </w:pPr>
    </w:p>
    <w:p>
      <w:pPr>
        <w:ind w:right="40" w:firstLine="309"/>
        <w:spacing w:after="0" w:line="253" w:lineRule="auto"/>
        <w:rPr>
          <w:sz w:val="20"/>
          <w:szCs w:val="20"/>
          <w:color w:val="auto"/>
        </w:rPr>
      </w:pPr>
      <w:r>
        <w:rPr>
          <w:rFonts w:ascii="Times New Roman" w:cs="Times New Roman" w:eastAsia="Times New Roman" w:hAnsi="Times New Roman"/>
          <w:sz w:val="17"/>
          <w:szCs w:val="17"/>
          <w:color w:val="auto"/>
        </w:rPr>
        <w:t>We believe that presenting certain non-GAAP measures can be helpful to investors who may wish to use some or all of this information to analyze the Company’s performance, prospects, and valuation. The items excluded from these non-GAAP metrics are significant components in understanding and evaluating our financial performance. We believe such adjustments are appropriate, as the magnitude and frequency of such items can vary significantly and are not related to the assessment of normal operating performance. We believe that the non-GAAP measures discussed below are appropriate for evaluating the performance of the Company for compensation-related purposes.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Adjusted EBITDA</w:t>
      </w:r>
    </w:p>
    <w:p>
      <w:pPr>
        <w:spacing w:after="0" w:line="236" w:lineRule="exact"/>
        <w:rPr>
          <w:sz w:val="20"/>
          <w:szCs w:val="20"/>
          <w:color w:val="auto"/>
        </w:rPr>
      </w:pPr>
    </w:p>
    <w:p>
      <w:pPr>
        <w:ind w:right="20" w:firstLine="309"/>
        <w:spacing w:after="0" w:line="248" w:lineRule="auto"/>
        <w:rPr>
          <w:sz w:val="20"/>
          <w:szCs w:val="20"/>
          <w:color w:val="auto"/>
        </w:rPr>
      </w:pPr>
      <w:r>
        <w:rPr>
          <w:rFonts w:ascii="Times New Roman" w:cs="Times New Roman" w:eastAsia="Times New Roman" w:hAnsi="Times New Roman"/>
          <w:sz w:val="17"/>
          <w:szCs w:val="17"/>
          <w:color w:val="auto"/>
        </w:rPr>
        <w:t>For compensation purposes, “Adjusted EBITDA” is calculated as income before income taxes, adjusted for net income attributable to noncontrolling interests; depreciation and amortization; interest expense, net; equity-based compensation expense; transaction, integration and acquisition costs; net loss (gain) on disposals, consolidations and deconsolidations; litigation settlements and other litigation costs and other adjustments that are not related to the assessment of normal operating performance. We use Adjusted EBITDA as a measure of financial performance. Adjusted EBITDA is a key measure used by our management to assess operating performance, make business decisions and allocate resources. The Committee may consider such other adjustments to the calculation of Adjusted EBITDA as it reasonably determines are appropriate in accordance with the discretion provided to the Committee under the Cash Incentive Plan and 2025 Incentive Plan.</w:t>
      </w:r>
    </w:p>
    <w:p>
      <w:pPr>
        <w:spacing w:after="0" w:line="200" w:lineRule="exact"/>
        <w:rPr>
          <w:sz w:val="20"/>
          <w:szCs w:val="20"/>
          <w:color w:val="auto"/>
        </w:rPr>
      </w:pPr>
    </w:p>
    <w:p>
      <w:pPr>
        <w:spacing w:after="0" w:line="212" w:lineRule="exact"/>
        <w:rPr>
          <w:sz w:val="20"/>
          <w:szCs w:val="20"/>
          <w:color w:val="auto"/>
        </w:rPr>
      </w:pPr>
    </w:p>
    <w:p>
      <w:pPr>
        <w:jc w:val="both"/>
        <w:ind w:firstLine="309"/>
        <w:spacing w:after="0" w:line="254" w:lineRule="auto"/>
        <w:rPr>
          <w:sz w:val="20"/>
          <w:szCs w:val="20"/>
          <w:color w:val="auto"/>
        </w:rPr>
      </w:pPr>
      <w:r>
        <w:rPr>
          <w:rFonts w:ascii="Times New Roman" w:cs="Times New Roman" w:eastAsia="Times New Roman" w:hAnsi="Times New Roman"/>
          <w:sz w:val="17"/>
          <w:szCs w:val="17"/>
          <w:color w:val="auto"/>
        </w:rPr>
        <w:t>A reconciliation of Adjusted EBITDA to income before income taxes, the most directly comparable GAAP financial measure can be found in "Management’s Discussion and Analysis of Financial Condition and Results of Operations - Certain Non-GAAP Measures" in the Company’s Annual Report on Form 10-K for the year ended December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Compensation</w:t>
      </w:r>
    </w:p>
    <w:p>
      <w:pPr>
        <w:spacing w:after="0" w:line="234" w:lineRule="exact"/>
        <w:rPr>
          <w:sz w:val="20"/>
          <w:szCs w:val="20"/>
          <w:color w:val="auto"/>
        </w:rPr>
      </w:pPr>
    </w:p>
    <w:p>
      <w:pPr>
        <w:ind w:firstLine="322"/>
        <w:spacing w:after="0" w:line="262" w:lineRule="auto"/>
        <w:rPr>
          <w:sz w:val="20"/>
          <w:szCs w:val="20"/>
          <w:color w:val="auto"/>
        </w:rPr>
      </w:pPr>
      <w:r>
        <w:rPr>
          <w:rFonts w:ascii="Times New Roman" w:cs="Times New Roman" w:eastAsia="Times New Roman" w:hAnsi="Times New Roman"/>
          <w:sz w:val="17"/>
          <w:szCs w:val="17"/>
          <w:color w:val="auto"/>
        </w:rPr>
        <w:t>Our Compensation Committee believes that the Company’s compensation policies and practices are an integral part of the Board’s risk management. Our Compensation Committee considers various features of our compensation policies and practices that discourage excessive or unnecessary risk taking, including but not limited to the following:</w:t>
      </w:r>
    </w:p>
    <w:p>
      <w:pPr>
        <w:spacing w:after="0" w:line="185"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pay philosophy, peer group and other market comparability data and market positioning to align with and support business objectives;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balance in:</w:t>
      </w:r>
    </w:p>
    <w:p>
      <w:pPr>
        <w:spacing w:after="0" w:line="242" w:lineRule="exact"/>
        <w:rPr>
          <w:rFonts w:ascii="Times New Roman" w:cs="Times New Roman" w:eastAsia="Times New Roman" w:hAnsi="Times New Roman"/>
          <w:sz w:val="17"/>
          <w:szCs w:val="17"/>
          <w:color w:val="auto"/>
        </w:rPr>
      </w:pPr>
    </w:p>
    <w:p>
      <w:pPr>
        <w:ind w:left="1240" w:right="320" w:hanging="309"/>
        <w:spacing w:after="0" w:line="287" w:lineRule="auto"/>
        <w:tabs>
          <w:tab w:leader="none" w:pos="1236"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equity pay mix, including the use of restricted stock, PSUs and stock options, used to focus employees on mitigating downside risk while generating long-term gains;</w:t>
      </w:r>
    </w:p>
    <w:p>
      <w:pPr>
        <w:spacing w:after="0" w:line="4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and longer-term performance focus;</w:t>
      </w:r>
    </w:p>
    <w:p>
      <w:pPr>
        <w:spacing w:after="0" w:line="1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and Board discretion to manage pay as it deems appropriate in light of Company and industry developments; and</w:t>
      </w:r>
    </w:p>
    <w:p>
      <w:pPr>
        <w:spacing w:after="0" w:line="242" w:lineRule="exact"/>
        <w:rPr>
          <w:rFonts w:ascii="Times New Roman" w:cs="Times New Roman" w:eastAsia="Times New Roman" w:hAnsi="Times New Roman"/>
          <w:sz w:val="17"/>
          <w:szCs w:val="17"/>
          <w:color w:val="auto"/>
        </w:rPr>
      </w:pPr>
    </w:p>
    <w:p>
      <w:pPr>
        <w:ind w:left="620" w:right="180" w:hanging="307"/>
        <w:spacing w:after="0" w:line="271"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Committee oversight of our compensation policies and practices to determine whether they encourage excessive risk-taking and evaluate compensation policies and practices that could mitigate any such risk.</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firstLine="309"/>
        <w:spacing w:after="0" w:line="271" w:lineRule="auto"/>
        <w:rPr>
          <w:sz w:val="20"/>
          <w:szCs w:val="20"/>
          <w:color w:val="auto"/>
        </w:rPr>
      </w:pPr>
      <w:r>
        <w:rPr>
          <w:rFonts w:ascii="Times New Roman" w:cs="Times New Roman" w:eastAsia="Times New Roman" w:hAnsi="Times New Roman"/>
          <w:sz w:val="17"/>
          <w:szCs w:val="17"/>
          <w:color w:val="auto"/>
        </w:rPr>
        <w:t>Our Compensation Committee believes that the Company's executive compensation program does not encourage inappropriate risk-taking and the level of risk associated with the Company's compensation programs is not reasonably likely to have a material adverse effect on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Grant Practices</w:t>
      </w:r>
    </w:p>
    <w:p>
      <w:pPr>
        <w:spacing w:after="0" w:line="234" w:lineRule="exact"/>
        <w:rPr>
          <w:sz w:val="20"/>
          <w:szCs w:val="20"/>
          <w:color w:val="auto"/>
        </w:rPr>
      </w:pPr>
    </w:p>
    <w:p>
      <w:pPr>
        <w:jc w:val="both"/>
        <w:ind w:right="80" w:firstLine="309"/>
        <w:spacing w:after="0" w:line="262" w:lineRule="auto"/>
        <w:rPr>
          <w:sz w:val="20"/>
          <w:szCs w:val="20"/>
          <w:color w:val="auto"/>
        </w:rPr>
      </w:pPr>
      <w:r>
        <w:rPr>
          <w:rFonts w:ascii="Times New Roman" w:cs="Times New Roman" w:eastAsia="Times New Roman" w:hAnsi="Times New Roman"/>
          <w:sz w:val="17"/>
          <w:szCs w:val="17"/>
          <w:color w:val="auto"/>
        </w:rPr>
        <w:t>The Compensation Committee's typical practice is to grant equity awards to our officers during the first quarter of each year. We do not engage in the practice of timing grants with the release of non-public information. In 2025, we granted performance-based stock units and time-vesting restricted stock described herein but we did not grant stock options.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Ownership Guidelines</w:t>
      </w:r>
    </w:p>
    <w:p>
      <w:pPr>
        <w:spacing w:after="0" w:line="234" w:lineRule="exact"/>
        <w:rPr>
          <w:sz w:val="20"/>
          <w:szCs w:val="20"/>
          <w:color w:val="auto"/>
        </w:rPr>
      </w:pPr>
    </w:p>
    <w:p>
      <w:pPr>
        <w:jc w:val="both"/>
        <w:ind w:right="160" w:firstLine="309"/>
        <w:spacing w:after="0" w:line="262" w:lineRule="auto"/>
        <w:rPr>
          <w:sz w:val="20"/>
          <w:szCs w:val="20"/>
          <w:color w:val="auto"/>
        </w:rPr>
      </w:pPr>
      <w:r>
        <w:rPr>
          <w:rFonts w:ascii="Times New Roman" w:cs="Times New Roman" w:eastAsia="Times New Roman" w:hAnsi="Times New Roman"/>
          <w:sz w:val="17"/>
          <w:szCs w:val="17"/>
          <w:color w:val="auto"/>
        </w:rPr>
        <w:t>The Compensation Committee believes that, in order to demonstrate alignment of the interests of management and the directors with the stockholders of the Company, NEO’s and non-employee directors should have and maintain a significant equity stake in the Company. As a result, we have adopted share ownership and retention guidelines applicable to the NEOs and non-employee directors, which require:</w:t>
      </w:r>
    </w:p>
    <w:p>
      <w:pPr>
        <w:spacing w:after="0" w:line="185"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CEO to hold shares of Company common stock with a fair market value equal to five times their current base salary;</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named executive officers to hold shares of Company common stock with a fair market value equal to three times their current base salary; and</w:t>
      </w:r>
    </w:p>
    <w:p>
      <w:pPr>
        <w:spacing w:after="0" w:line="229" w:lineRule="exact"/>
        <w:rPr>
          <w:rFonts w:ascii="Times New Roman" w:cs="Times New Roman" w:eastAsia="Times New Roman" w:hAnsi="Times New Roman"/>
          <w:sz w:val="17"/>
          <w:szCs w:val="17"/>
          <w:color w:val="auto"/>
        </w:rPr>
      </w:pPr>
    </w:p>
    <w:p>
      <w:pPr>
        <w:ind w:left="320" w:right="400" w:hanging="7"/>
        <w:spacing w:after="0" w:line="530" w:lineRule="auto"/>
        <w:tabs>
          <w:tab w:leader="none" w:pos="62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Non-employee directors of the Company to hold shares of Company common stock with a fair market value equal to five times their annual retainer. The guidelines provide that all owned stock, restricted stock awards and vested performance stock unit awards count towards the ownership guidelines.</w:t>
      </w:r>
    </w:p>
    <w:p>
      <w:pPr>
        <w:ind w:right="60" w:firstLine="309"/>
        <w:spacing w:after="0" w:line="246" w:lineRule="auto"/>
        <w:rPr>
          <w:sz w:val="20"/>
          <w:szCs w:val="20"/>
          <w:color w:val="auto"/>
        </w:rPr>
      </w:pPr>
      <w:r>
        <w:rPr>
          <w:rFonts w:ascii="Times New Roman" w:cs="Times New Roman" w:eastAsia="Times New Roman" w:hAnsi="Times New Roman"/>
          <w:sz w:val="17"/>
          <w:szCs w:val="17"/>
          <w:color w:val="auto"/>
        </w:rPr>
        <w:t>The Compensation Committee will monitor compliance with these guidelines on an annual basis. Until the minimum share ownership requirement applicable to an NEO or non-employee director is satisfied, and thereafter whenever the minimum share ownership requirement is not satisfied, such NEO or non-employee director must retain 50% of the net shares received by such person as a result of the exercise of stock options, payout of performance unit awards, or any other award under the 2025 Incentive Plan or 2015 Incentive Plan. As of March 31, 2026, all of the Company’s NEOs and non-employee directors (other than the directors associated with Bain Capital) met the minimum share ownership guidelines, except for Mr. Bane, Mr. Webb, Ms. Brittenham, Mr. Deane, Dr. Forese, Mr. Hendrix and Mr. Dean. The NEOs and non-employee directors (other than the directors associated with Bain Capital) must make good faith efforts to satisfy the minimum share ownership requirements described above; however, there is no specific time period in which an NEO or non-employee director must satisfy the minimum share ownership requirements.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Say-on-Pay Feedback from Stockholders</w:t>
      </w:r>
    </w:p>
    <w:p>
      <w:pPr>
        <w:spacing w:after="0" w:line="247" w:lineRule="exact"/>
        <w:rPr>
          <w:sz w:val="20"/>
          <w:szCs w:val="20"/>
          <w:color w:val="auto"/>
        </w:rPr>
      </w:pPr>
    </w:p>
    <w:p>
      <w:pPr>
        <w:ind w:right="80" w:firstLine="309"/>
        <w:spacing w:after="0" w:line="254" w:lineRule="auto"/>
        <w:rPr>
          <w:sz w:val="20"/>
          <w:szCs w:val="20"/>
          <w:color w:val="auto"/>
        </w:rPr>
      </w:pPr>
      <w:r>
        <w:rPr>
          <w:rFonts w:ascii="Times New Roman" w:cs="Times New Roman" w:eastAsia="Times New Roman" w:hAnsi="Times New Roman"/>
          <w:sz w:val="17"/>
          <w:szCs w:val="17"/>
          <w:color w:val="auto"/>
        </w:rPr>
        <w:t>Each year, the Compensation Committee considers the results of the prior year's advisory vote as it reviews and determines the compensation packages of our NEOs. In 2025, we received support for our executive compensation program, as approximately 83% of total votes cast on the advisory vote on executive compensation voted to approve the proposal.</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REPORT OF THE COMPENSATION COMMITTEE</w:t>
      </w:r>
    </w:p>
    <w:p>
      <w:pPr>
        <w:spacing w:after="0" w:line="221"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The Compensation Committee has reviewed and discussed the Compensation Discussion and Analysis contained in this Proxy Statement with the Company's management and, based on such review and discussions, has recommended to the Board that the Compensation Discussion and Analysis be included in this Proxy Statement.</w:t>
      </w:r>
    </w:p>
    <w:p>
      <w:pPr>
        <w:spacing w:after="0" w:line="27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color w:val="auto"/>
        </w:rPr>
        <w:t>Submitted by the Compensation Committee:</w:t>
      </w:r>
    </w:p>
    <w:p>
      <w:pPr>
        <w:spacing w:after="0" w:line="26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color w:val="auto"/>
        </w:rPr>
        <w:t>Devin O'Reilly, Chairman</w:t>
      </w:r>
    </w:p>
    <w:p>
      <w:pPr>
        <w:spacing w:after="0" w:line="4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color w:val="auto"/>
        </w:rPr>
        <w:t>Brent Turner</w:t>
      </w:r>
    </w:p>
    <w:p>
      <w:pPr>
        <w:spacing w:after="0" w:line="4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Andrew T. Kaplan</w:t>
      </w:r>
    </w:p>
    <w:p>
      <w:pPr>
        <w:spacing w:after="0" w:line="4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color w:val="auto"/>
        </w:rPr>
        <w:t>John A. Deane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00" w:lineRule="exact"/>
        <w:rPr>
          <w:sz w:val="20"/>
          <w:szCs w:val="20"/>
          <w:color w:val="auto"/>
        </w:rPr>
      </w:pP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69" w:lineRule="exact"/>
        <w:rPr>
          <w:sz w:val="20"/>
          <w:szCs w:val="20"/>
          <w:color w:val="auto"/>
        </w:rPr>
      </w:pPr>
    </w:p>
    <w:p>
      <w:pPr>
        <w:ind w:left="620" w:right="240" w:firstLine="309"/>
        <w:spacing w:after="0" w:line="271" w:lineRule="auto"/>
        <w:rPr>
          <w:sz w:val="20"/>
          <w:szCs w:val="20"/>
          <w:color w:val="auto"/>
        </w:rPr>
      </w:pPr>
      <w:r>
        <w:rPr>
          <w:rFonts w:ascii="Times New Roman" w:cs="Times New Roman" w:eastAsia="Times New Roman" w:hAnsi="Times New Roman"/>
          <w:sz w:val="17"/>
          <w:szCs w:val="17"/>
          <w:color w:val="auto"/>
        </w:rPr>
        <w:t>The following table summarizes information regarding the compensation awarded to, earned by or paid to our named executive officers during the years ended December 31, 2025, 2024 and 2023.</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Change in Pension</w:t>
            </w: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Value and</w:t>
            </w: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Nonqualified</w:t>
            </w: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60" w:type="dxa"/>
            <w:vAlign w:val="bottom"/>
          </w:tcPr>
          <w:p>
            <w:pPr>
              <w:spacing w:after="0"/>
              <w:rPr>
                <w:sz w:val="12"/>
                <w:szCs w:val="12"/>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3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7"/>
                <w:szCs w:val="17"/>
                <w:b w:val="1"/>
                <w:bCs w:val="1"/>
                <w:color w:val="auto"/>
                <w:vertAlign w:val="superscript"/>
              </w:rPr>
              <w:t>(4)(5)</w:t>
            </w:r>
          </w:p>
        </w:tc>
        <w:tc>
          <w:tcPr>
            <w:tcW w:w="12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13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240" w:type="dxa"/>
            <w:vAlign w:val="bottom"/>
            <w:vMerge w:val="continue"/>
          </w:tcPr>
          <w:p>
            <w:pPr>
              <w:spacing w:after="0"/>
              <w:rPr>
                <w:sz w:val="12"/>
                <w:szCs w:val="12"/>
                <w:color w:val="auto"/>
              </w:rPr>
            </w:pP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9"/>
        </w:trPr>
        <w:tc>
          <w:tcPr>
            <w:tcW w:w="21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Compensation </w:t>
            </w:r>
            <w:r>
              <w:rPr>
                <w:rFonts w:ascii="Times New Roman" w:cs="Times New Roman" w:eastAsia="Times New Roman" w:hAnsi="Times New Roman"/>
                <w:sz w:val="8"/>
                <w:szCs w:val="8"/>
                <w:b w:val="1"/>
                <w:bCs w:val="1"/>
                <w:color w:val="auto"/>
                <w:w w:val="98"/>
              </w:rPr>
              <w:t>(6)</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Compensation </w:t>
            </w:r>
            <w:r>
              <w:rPr>
                <w:rFonts w:ascii="Times New Roman" w:cs="Times New Roman" w:eastAsia="Times New Roman" w:hAnsi="Times New Roman"/>
                <w:sz w:val="17"/>
                <w:szCs w:val="17"/>
                <w:b w:val="1"/>
                <w:bCs w:val="1"/>
                <w:color w:val="auto"/>
                <w:w w:val="96"/>
                <w:vertAlign w:val="superscript"/>
              </w:rPr>
              <w:t>(7)</w:t>
            </w: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J. Eric Evans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$1,050,000</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$5,000,000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$11,520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$22,342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$6,083,862</w:t>
            </w:r>
          </w:p>
        </w:tc>
        <w:tc>
          <w:tcPr>
            <w:tcW w:w="0" w:type="dxa"/>
            <w:vAlign w:val="bottom"/>
          </w:tcPr>
          <w:p>
            <w:pPr>
              <w:spacing w:after="0"/>
              <w:rPr>
                <w:sz w:val="1"/>
                <w:szCs w:val="1"/>
                <w:color w:val="auto"/>
              </w:rPr>
            </w:pPr>
          </w:p>
        </w:tc>
      </w:tr>
      <w:tr>
        <w:trPr>
          <w:trHeight w:val="184"/>
        </w:trPr>
        <w:tc>
          <w:tcPr>
            <w:tcW w:w="2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1,050,000</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5,100,000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300,000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(147)</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11,350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$6,461,203</w:t>
            </w:r>
          </w:p>
        </w:tc>
        <w:tc>
          <w:tcPr>
            <w:tcW w:w="0" w:type="dxa"/>
            <w:vAlign w:val="bottom"/>
          </w:tcPr>
          <w:p>
            <w:pPr>
              <w:spacing w:after="0"/>
              <w:rPr>
                <w:sz w:val="1"/>
                <w:szCs w:val="1"/>
                <w:color w:val="auto"/>
              </w:rPr>
            </w:pPr>
          </w:p>
        </w:tc>
      </w:tr>
      <w:tr>
        <w:trPr>
          <w:trHeight w:val="235"/>
        </w:trPr>
        <w:tc>
          <w:tcPr>
            <w:tcW w:w="2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2023</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1,050,000</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4,400,000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1,000,000</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7,600</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6,457,600</w:t>
            </w:r>
          </w:p>
        </w:tc>
        <w:tc>
          <w:tcPr>
            <w:tcW w:w="0" w:type="dxa"/>
            <w:vAlign w:val="bottom"/>
          </w:tcPr>
          <w:p>
            <w:pPr>
              <w:spacing w:after="0"/>
              <w:rPr>
                <w:sz w:val="1"/>
                <w:szCs w:val="1"/>
                <w:color w:val="auto"/>
              </w:rPr>
            </w:pPr>
          </w:p>
        </w:tc>
      </w:tr>
      <w:tr>
        <w:trPr>
          <w:trHeight w:val="169"/>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David T. Doherty</w:t>
            </w:r>
          </w:p>
        </w:tc>
        <w:tc>
          <w:tcPr>
            <w:tcW w:w="46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666,154</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2,000,000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10,500</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2,676,654</w:t>
            </w:r>
          </w:p>
        </w:tc>
        <w:tc>
          <w:tcPr>
            <w:tcW w:w="0" w:type="dxa"/>
            <w:vAlign w:val="bottom"/>
          </w:tcPr>
          <w:p>
            <w:pPr>
              <w:spacing w:after="0"/>
              <w:rPr>
                <w:sz w:val="1"/>
                <w:szCs w:val="1"/>
                <w:color w:val="auto"/>
              </w:rPr>
            </w:pPr>
          </w:p>
        </w:tc>
      </w:tr>
      <w:tr>
        <w:trPr>
          <w:trHeight w:val="168"/>
        </w:trPr>
        <w:tc>
          <w:tcPr>
            <w:tcW w:w="218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w w:val="96"/>
              </w:rPr>
              <w:t>Executive Vice President and Chief</w:t>
            </w:r>
          </w:p>
        </w:tc>
        <w:tc>
          <w:tcPr>
            <w:tcW w:w="460" w:type="dxa"/>
            <w:vAlign w:val="bottom"/>
          </w:tcPr>
          <w:p>
            <w:pPr>
              <w:spacing w:after="0"/>
              <w:rPr>
                <w:sz w:val="14"/>
                <w:szCs w:val="14"/>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636,539</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2,360,000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225,000</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10,350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3,231,889</w:t>
            </w:r>
          </w:p>
        </w:tc>
        <w:tc>
          <w:tcPr>
            <w:tcW w:w="0" w:type="dxa"/>
            <w:vAlign w:val="bottom"/>
          </w:tcPr>
          <w:p>
            <w:pPr>
              <w:spacing w:after="0"/>
              <w:rPr>
                <w:sz w:val="1"/>
                <w:szCs w:val="1"/>
                <w:color w:val="auto"/>
              </w:rPr>
            </w:pPr>
          </w:p>
        </w:tc>
      </w:tr>
      <w:tr>
        <w:trPr>
          <w:trHeight w:val="66"/>
        </w:trPr>
        <w:tc>
          <w:tcPr>
            <w:tcW w:w="21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i w:val="1"/>
                <w:iCs w:val="1"/>
                <w:color w:val="auto"/>
              </w:rPr>
              <w:t>Financial Officer</w:t>
            </w:r>
          </w:p>
        </w:tc>
        <w:tc>
          <w:tcPr>
            <w:tcW w:w="4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1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2023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567,500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200,000</w:t>
            </w:r>
            <w:r>
              <w:rPr>
                <w:rFonts w:ascii="Times New Roman" w:cs="Times New Roman" w:eastAsia="Times New Roman" w:hAnsi="Times New Roman"/>
                <w:sz w:val="8"/>
                <w:szCs w:val="8"/>
                <w:color w:val="auto"/>
                <w:w w:val="98"/>
              </w:rPr>
              <w:t>(3)</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2,400,000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345,000</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6,600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3,519,100</w:t>
            </w:r>
          </w:p>
        </w:tc>
        <w:tc>
          <w:tcPr>
            <w:tcW w:w="0" w:type="dxa"/>
            <w:vAlign w:val="bottom"/>
          </w:tcPr>
          <w:p>
            <w:pPr>
              <w:spacing w:after="0"/>
              <w:rPr>
                <w:sz w:val="1"/>
                <w:szCs w:val="1"/>
                <w:color w:val="auto"/>
              </w:rPr>
            </w:pPr>
          </w:p>
        </w:tc>
      </w:tr>
      <w:tr>
        <w:trPr>
          <w:trHeight w:val="103"/>
        </w:trPr>
        <w:tc>
          <w:tcPr>
            <w:tcW w:w="2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Jennifer B. Baldock</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614,538</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1,500,000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45,556</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23,500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2,183,594</w:t>
            </w:r>
          </w:p>
        </w:tc>
        <w:tc>
          <w:tcPr>
            <w:tcW w:w="0" w:type="dxa"/>
            <w:vAlign w:val="bottom"/>
          </w:tcPr>
          <w:p>
            <w:pPr>
              <w:spacing w:after="0"/>
              <w:rPr>
                <w:sz w:val="1"/>
                <w:szCs w:val="1"/>
                <w:color w:val="auto"/>
              </w:rPr>
            </w:pPr>
          </w:p>
        </w:tc>
      </w:tr>
      <w:tr>
        <w:trPr>
          <w:trHeight w:val="168"/>
        </w:trPr>
        <w:tc>
          <w:tcPr>
            <w:tcW w:w="2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Executive Vice President, Chief</w:t>
            </w:r>
          </w:p>
        </w:tc>
        <w:tc>
          <w:tcPr>
            <w:tcW w:w="4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596,154</w:t>
            </w: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1,840,000</w:t>
            </w: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200,000</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25,986</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22,950</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2,685,090</w:t>
            </w:r>
          </w:p>
        </w:tc>
        <w:tc>
          <w:tcPr>
            <w:tcW w:w="0" w:type="dxa"/>
            <w:vAlign w:val="bottom"/>
          </w:tcPr>
          <w:p>
            <w:pPr>
              <w:spacing w:after="0"/>
              <w:rPr>
                <w:sz w:val="1"/>
                <w:szCs w:val="1"/>
                <w:color w:val="auto"/>
              </w:rPr>
            </w:pPr>
          </w:p>
        </w:tc>
      </w:tr>
      <w:tr>
        <w:trPr>
          <w:trHeight w:val="105"/>
        </w:trPr>
        <w:tc>
          <w:tcPr>
            <w:tcW w:w="2640" w:type="dxa"/>
            <w:vAlign w:val="bottom"/>
            <w:gridSpan w:val="2"/>
            <w:vMerge w:val="restart"/>
            <w:shd w:val="clear" w:color="auto" w:fill="CCEEFF"/>
          </w:tcPr>
          <w:p>
            <w:pPr>
              <w:ind w:left="240"/>
              <w:spacing w:after="0" w:line="153" w:lineRule="exact"/>
              <w:rPr>
                <w:sz w:val="20"/>
                <w:szCs w:val="20"/>
                <w:color w:val="auto"/>
              </w:rPr>
            </w:pPr>
            <w:r>
              <w:rPr>
                <w:rFonts w:ascii="Times New Roman" w:cs="Times New Roman" w:eastAsia="Times New Roman" w:hAnsi="Times New Roman"/>
                <w:sz w:val="14"/>
                <w:szCs w:val="14"/>
                <w:i w:val="1"/>
                <w:iCs w:val="1"/>
                <w:color w:val="auto"/>
              </w:rPr>
              <w:t>Administrative and Development Officer</w:t>
            </w:r>
          </w:p>
        </w:tc>
        <w:tc>
          <w:tcPr>
            <w:tcW w:w="58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640" w:type="dxa"/>
            <w:vAlign w:val="bottom"/>
            <w:gridSpan w:val="2"/>
            <w:vMerge w:val="continue"/>
            <w:shd w:val="clear" w:color="auto" w:fill="CCEEFF"/>
          </w:tcPr>
          <w:p>
            <w:pPr>
              <w:spacing w:after="0"/>
              <w:rPr>
                <w:sz w:val="4"/>
                <w:szCs w:val="4"/>
                <w:color w:val="auto"/>
              </w:rPr>
            </w:pPr>
          </w:p>
        </w:tc>
        <w:tc>
          <w:tcPr>
            <w:tcW w:w="58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2023</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571,346</w:t>
            </w: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1,950,000</w:t>
            </w: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519,050</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29,999</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18,300</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3,088,695</w:t>
            </w:r>
          </w:p>
        </w:tc>
        <w:tc>
          <w:tcPr>
            <w:tcW w:w="0" w:type="dxa"/>
            <w:vAlign w:val="bottom"/>
          </w:tcPr>
          <w:p>
            <w:pPr>
              <w:spacing w:after="0"/>
              <w:rPr>
                <w:sz w:val="1"/>
                <w:szCs w:val="1"/>
                <w:color w:val="auto"/>
              </w:rPr>
            </w:pPr>
          </w:p>
        </w:tc>
      </w:tr>
      <w:tr>
        <w:trPr>
          <w:trHeight w:val="225"/>
        </w:trPr>
        <w:tc>
          <w:tcPr>
            <w:tcW w:w="2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96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CCEEFF"/>
            </w:tcBorders>
            <w:vMerge w:val="continue"/>
            <w:shd w:val="clear" w:color="auto" w:fill="CCEEFF"/>
          </w:tcPr>
          <w:p>
            <w:pPr>
              <w:spacing w:after="0"/>
              <w:rPr>
                <w:sz w:val="19"/>
                <w:szCs w:val="19"/>
                <w:color w:val="auto"/>
              </w:rPr>
            </w:pPr>
          </w:p>
        </w:tc>
        <w:tc>
          <w:tcPr>
            <w:tcW w:w="1220" w:type="dxa"/>
            <w:vAlign w:val="bottom"/>
            <w:tcBorders>
              <w:bottom w:val="single" w:sz="8" w:color="CCEEFF"/>
            </w:tcBorders>
            <w:vMerge w:val="continue"/>
            <w:shd w:val="clear" w:color="auto" w:fill="CCEEFF"/>
          </w:tcPr>
          <w:p>
            <w:pPr>
              <w:spacing w:after="0"/>
              <w:rPr>
                <w:sz w:val="19"/>
                <w:szCs w:val="19"/>
                <w:color w:val="auto"/>
              </w:rPr>
            </w:pPr>
          </w:p>
        </w:tc>
        <w:tc>
          <w:tcPr>
            <w:tcW w:w="1320" w:type="dxa"/>
            <w:vAlign w:val="bottom"/>
            <w:tcBorders>
              <w:bottom w:val="single" w:sz="8" w:color="CCEEFF"/>
            </w:tcBorders>
            <w:vMerge w:val="continue"/>
            <w:shd w:val="clear" w:color="auto" w:fill="CCEEFF"/>
          </w:tcPr>
          <w:p>
            <w:pPr>
              <w:spacing w:after="0"/>
              <w:rPr>
                <w:sz w:val="19"/>
                <w:szCs w:val="19"/>
                <w:color w:val="auto"/>
              </w:rPr>
            </w:pPr>
          </w:p>
        </w:tc>
        <w:tc>
          <w:tcPr>
            <w:tcW w:w="1240" w:type="dxa"/>
            <w:vAlign w:val="bottom"/>
            <w:tcBorders>
              <w:bottom w:val="single" w:sz="8" w:color="CCEEFF"/>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Marissa A. Brittenham</w:t>
            </w:r>
          </w:p>
        </w:tc>
        <w:tc>
          <w:tcPr>
            <w:tcW w:w="46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512,115</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600,000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11,000</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1,123,115</w:t>
            </w:r>
          </w:p>
        </w:tc>
        <w:tc>
          <w:tcPr>
            <w:tcW w:w="0" w:type="dxa"/>
            <w:vAlign w:val="bottom"/>
          </w:tcPr>
          <w:p>
            <w:pPr>
              <w:spacing w:after="0"/>
              <w:rPr>
                <w:sz w:val="1"/>
                <w:szCs w:val="1"/>
                <w:color w:val="auto"/>
              </w:rPr>
            </w:pPr>
          </w:p>
        </w:tc>
      </w:tr>
      <w:tr>
        <w:trPr>
          <w:trHeight w:val="168"/>
        </w:trPr>
        <w:tc>
          <w:tcPr>
            <w:tcW w:w="218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w w:val="96"/>
              </w:rPr>
              <w:t>Executive Vice President and Chief</w:t>
            </w:r>
          </w:p>
        </w:tc>
        <w:tc>
          <w:tcPr>
            <w:tcW w:w="460" w:type="dxa"/>
            <w:vAlign w:val="bottom"/>
          </w:tcPr>
          <w:p>
            <w:pPr>
              <w:spacing w:after="0"/>
              <w:rPr>
                <w:sz w:val="14"/>
                <w:szCs w:val="14"/>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495,192</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840,000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110,000</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10,850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1,456,042</w:t>
            </w:r>
          </w:p>
        </w:tc>
        <w:tc>
          <w:tcPr>
            <w:tcW w:w="0" w:type="dxa"/>
            <w:vAlign w:val="bottom"/>
          </w:tcPr>
          <w:p>
            <w:pPr>
              <w:spacing w:after="0"/>
              <w:rPr>
                <w:sz w:val="1"/>
                <w:szCs w:val="1"/>
                <w:color w:val="auto"/>
              </w:rPr>
            </w:pPr>
          </w:p>
        </w:tc>
      </w:tr>
      <w:tr>
        <w:trPr>
          <w:trHeight w:val="66"/>
        </w:trPr>
        <w:tc>
          <w:tcPr>
            <w:tcW w:w="21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i w:val="1"/>
                <w:iCs w:val="1"/>
                <w:color w:val="auto"/>
              </w:rPr>
              <w:t>Strategy Officer</w:t>
            </w:r>
          </w:p>
        </w:tc>
        <w:tc>
          <w:tcPr>
            <w:tcW w:w="4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1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2023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470,192</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1,000,000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200,000</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7,100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1,677,292</w:t>
            </w:r>
          </w:p>
        </w:tc>
        <w:tc>
          <w:tcPr>
            <w:tcW w:w="0" w:type="dxa"/>
            <w:vAlign w:val="bottom"/>
          </w:tcPr>
          <w:p>
            <w:pPr>
              <w:spacing w:after="0"/>
              <w:rPr>
                <w:sz w:val="1"/>
                <w:szCs w:val="1"/>
                <w:color w:val="auto"/>
              </w:rPr>
            </w:pPr>
          </w:p>
        </w:tc>
      </w:tr>
      <w:tr>
        <w:trPr>
          <w:trHeight w:val="103"/>
        </w:trPr>
        <w:tc>
          <w:tcPr>
            <w:tcW w:w="2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 Trent Webb</w:t>
            </w:r>
          </w:p>
        </w:tc>
        <w:tc>
          <w:tcPr>
            <w:tcW w:w="4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510,577</w:t>
            </w: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750,000</w:t>
            </w: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9,775</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1,270,352</w:t>
            </w:r>
          </w:p>
        </w:tc>
        <w:tc>
          <w:tcPr>
            <w:tcW w:w="0" w:type="dxa"/>
            <w:vAlign w:val="bottom"/>
          </w:tcPr>
          <w:p>
            <w:pPr>
              <w:spacing w:after="0"/>
              <w:rPr>
                <w:sz w:val="1"/>
                <w:szCs w:val="1"/>
                <w:color w:val="auto"/>
              </w:rPr>
            </w:pPr>
          </w:p>
        </w:tc>
      </w:tr>
      <w:tr>
        <w:trPr>
          <w:trHeight w:val="93"/>
        </w:trPr>
        <w:tc>
          <w:tcPr>
            <w:tcW w:w="21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 xml:space="preserve">President, American Group </w:t>
            </w:r>
            <w:r>
              <w:rPr>
                <w:rFonts w:ascii="Times New Roman" w:cs="Times New Roman" w:eastAsia="Times New Roman" w:hAnsi="Times New Roman"/>
                <w:sz w:val="17"/>
                <w:szCs w:val="17"/>
                <w:i w:val="1"/>
                <w:iCs w:val="1"/>
                <w:color w:val="auto"/>
                <w:vertAlign w:val="superscript"/>
              </w:rPr>
              <w:t>(1)</w:t>
            </w:r>
          </w:p>
        </w:tc>
        <w:tc>
          <w:tcPr>
            <w:tcW w:w="46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320" w:type="dxa"/>
            <w:vAlign w:val="bottom"/>
            <w:vMerge w:val="continue"/>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180" w:type="dxa"/>
            <w:vAlign w:val="bottom"/>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Harrison R. Bane</w:t>
            </w:r>
          </w:p>
        </w:tc>
        <w:tc>
          <w:tcPr>
            <w:tcW w:w="460" w:type="dxa"/>
            <w:vAlign w:val="bottom"/>
            <w:vMerge w:val="restart"/>
          </w:tcPr>
          <w:p>
            <w:pPr>
              <w:jc w:val="right"/>
              <w:ind w:right="295"/>
              <w:spacing w:after="0"/>
              <w:rPr>
                <w:sz w:val="20"/>
                <w:szCs w:val="20"/>
                <w:color w:val="auto"/>
              </w:rPr>
            </w:pPr>
            <w:r>
              <w:rPr>
                <w:rFonts w:ascii="Times New Roman" w:cs="Times New Roman" w:eastAsia="Times New Roman" w:hAnsi="Times New Roman"/>
                <w:sz w:val="9"/>
                <w:szCs w:val="9"/>
                <w:i w:val="1"/>
                <w:iCs w:val="1"/>
                <w:color w:val="auto"/>
                <w:w w:val="94"/>
              </w:rPr>
              <w:t>(2)</w:t>
            </w:r>
          </w:p>
        </w:tc>
        <w:tc>
          <w:tcPr>
            <w:tcW w:w="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466,346</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1,025,000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9,049</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1,500,395</w:t>
            </w:r>
          </w:p>
        </w:tc>
        <w:tc>
          <w:tcPr>
            <w:tcW w:w="0" w:type="dxa"/>
            <w:vAlign w:val="bottom"/>
          </w:tcPr>
          <w:p>
            <w:pPr>
              <w:spacing w:after="0"/>
              <w:rPr>
                <w:sz w:val="1"/>
                <w:szCs w:val="1"/>
                <w:color w:val="auto"/>
              </w:rPr>
            </w:pPr>
          </w:p>
        </w:tc>
      </w:tr>
      <w:tr>
        <w:trPr>
          <w:trHeight w:val="182"/>
        </w:trPr>
        <w:tc>
          <w:tcPr>
            <w:tcW w:w="218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w w:val="97"/>
              </w:rPr>
              <w:t>Former President, National Group</w:t>
            </w:r>
          </w:p>
        </w:tc>
        <w:tc>
          <w:tcPr>
            <w:tcW w:w="460" w:type="dxa"/>
            <w:vAlign w:val="bottom"/>
            <w:vMerge w:val="continue"/>
          </w:tcPr>
          <w:p>
            <w:pPr>
              <w:spacing w:after="0"/>
              <w:rPr>
                <w:sz w:val="15"/>
                <w:szCs w:val="15"/>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545,000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1,095,000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125,000</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11,350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1,776,350</w:t>
            </w:r>
          </w:p>
        </w:tc>
        <w:tc>
          <w:tcPr>
            <w:tcW w:w="0" w:type="dxa"/>
            <w:vAlign w:val="bottom"/>
          </w:tcPr>
          <w:p>
            <w:pPr>
              <w:spacing w:after="0"/>
              <w:rPr>
                <w:sz w:val="1"/>
                <w:szCs w:val="1"/>
                <w:color w:val="auto"/>
              </w:rPr>
            </w:pPr>
          </w:p>
        </w:tc>
      </w:tr>
      <w:tr>
        <w:trPr>
          <w:trHeight w:val="52"/>
        </w:trPr>
        <w:tc>
          <w:tcPr>
            <w:tcW w:w="2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2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2023</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500,000</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100,000</w:t>
            </w:r>
            <w:r>
              <w:rPr>
                <w:rFonts w:ascii="Times New Roman" w:cs="Times New Roman" w:eastAsia="Times New Roman" w:hAnsi="Times New Roman"/>
                <w:sz w:val="8"/>
                <w:szCs w:val="8"/>
                <w:color w:val="auto"/>
                <w:w w:val="98"/>
              </w:rPr>
              <w:t>(3)</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800,000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186,875</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4,029</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1,590,904</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w:t>
      </w:r>
    </w:p>
    <w:p>
      <w:pPr>
        <w:spacing w:after="0" w:line="165" w:lineRule="exact"/>
        <w:rPr>
          <w:sz w:val="20"/>
          <w:szCs w:val="20"/>
          <w:color w:val="auto"/>
        </w:rPr>
      </w:pPr>
    </w:p>
    <w:p>
      <w:pPr>
        <w:ind w:left="320" w:right="480" w:hanging="317"/>
        <w:spacing w:after="0" w:line="271" w:lineRule="auto"/>
        <w:tabs>
          <w:tab w:leader="none" w:pos="31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Webb was not a named executive officer until 2025. Therefore, in accordance with SEC rules, his compensation is only disclosed for the year ended December 31, 2025.</w:t>
      </w:r>
    </w:p>
    <w:p>
      <w:pPr>
        <w:spacing w:after="0" w:line="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Bane served as our President, National Group until October 3, 2025.</w:t>
      </w:r>
    </w:p>
    <w:p>
      <w:pPr>
        <w:spacing w:after="0" w:line="49" w:lineRule="exact"/>
        <w:rPr>
          <w:rFonts w:ascii="Times New Roman" w:cs="Times New Roman" w:eastAsia="Times New Roman" w:hAnsi="Times New Roman"/>
          <w:sz w:val="17"/>
          <w:szCs w:val="17"/>
          <w:color w:val="auto"/>
        </w:rPr>
      </w:pPr>
    </w:p>
    <w:p>
      <w:pPr>
        <w:ind w:left="320" w:right="360" w:hanging="317"/>
        <w:spacing w:after="0" w:line="271" w:lineRule="auto"/>
        <w:tabs>
          <w:tab w:leader="none" w:pos="31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 transaction bonus paid to Mr. Doherty and Mr. Bane in acknowledgment of their efforts in connection with the successful completion of certain transactions in 2023.</w:t>
      </w:r>
    </w:p>
    <w:p>
      <w:pPr>
        <w:spacing w:after="0" w:line="9" w:lineRule="exact"/>
        <w:rPr>
          <w:rFonts w:ascii="Times New Roman" w:cs="Times New Roman" w:eastAsia="Times New Roman" w:hAnsi="Times New Roman"/>
          <w:sz w:val="17"/>
          <w:szCs w:val="17"/>
          <w:color w:val="auto"/>
        </w:rPr>
      </w:pPr>
    </w:p>
    <w:p>
      <w:pPr>
        <w:ind w:left="320" w:right="40" w:hanging="317"/>
        <w:spacing w:after="0" w:line="248" w:lineRule="auto"/>
        <w:tabs>
          <w:tab w:leader="none" w:pos="31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dollar amounts of the aggregate grant date fair value of stock and PSUs granted to our NEOs, as determined in accordance with FASB ASC Topic 718. These amounts do not reflect the actual amounts that may be paid or realized by our NEOs and exclude the effect of estimated forfeitures. The aggregate grant date fair value of the time-based restricted stock awards was calculated using the closing price of our common stock on the grant date. The aggregate grant date fair value of the PSUs was determined based on the probable outcome of the applicable performance conditions associated with such award. The PSU awards were valued based on a grant date fair value of $23.80 per share (for awards granted in 2025), $31.18 per share (for awards granted in 2024) and $32.86 per share (for awards granted in 2023), except that the PSU awards granted to Mr. Bane on September 1, 2024 had a grant date fair value of $31.95 per share.</w:t>
      </w:r>
    </w:p>
    <w:p>
      <w:pPr>
        <w:spacing w:after="0" w:line="17" w:lineRule="exact"/>
        <w:rPr>
          <w:sz w:val="20"/>
          <w:szCs w:val="20"/>
          <w:color w:val="auto"/>
        </w:rPr>
      </w:pPr>
    </w:p>
    <w:p>
      <w:pPr>
        <w:ind w:left="320" w:right="340"/>
        <w:spacing w:after="0" w:line="271" w:lineRule="auto"/>
        <w:rPr>
          <w:sz w:val="20"/>
          <w:szCs w:val="20"/>
          <w:color w:val="auto"/>
        </w:rPr>
      </w:pPr>
      <w:r>
        <w:rPr>
          <w:rFonts w:ascii="Times New Roman" w:cs="Times New Roman" w:eastAsia="Times New Roman" w:hAnsi="Times New Roman"/>
          <w:sz w:val="17"/>
          <w:szCs w:val="17"/>
          <w:color w:val="auto"/>
        </w:rPr>
        <w:t>Assuming that the maximum performance goals are attained for the PSUs granted in 2025, 2024 and 2023, the aggregate grant date fair value of the PSUs would have been:</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65"/>
        </w:trPr>
        <w:tc>
          <w:tcPr>
            <w:tcW w:w="3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360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7"/>
                <w:szCs w:val="17"/>
                <w:b w:val="1"/>
                <w:bCs w:val="1"/>
                <w:color w:val="auto"/>
              </w:rPr>
              <w:t>2025 PSU Awards</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2024 PSU Awards</w:t>
            </w:r>
          </w:p>
        </w:tc>
        <w:tc>
          <w:tcPr>
            <w:tcW w:w="172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w w:val="98"/>
              </w:rPr>
              <w:t>2023 PSU Awards</w:t>
            </w:r>
          </w:p>
        </w:tc>
      </w:tr>
      <w:tr>
        <w:trPr>
          <w:trHeight w:val="269"/>
        </w:trPr>
        <w:tc>
          <w:tcPr>
            <w:tcW w:w="3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J. Eric Evans</w:t>
            </w:r>
          </w:p>
        </w:tc>
        <w:tc>
          <w:tcPr>
            <w:tcW w:w="3600" w:type="dxa"/>
            <w:vAlign w:val="bottom"/>
            <w:tcBorders>
              <w:bottom w:val="single" w:sz="8" w:color="CCEEFF"/>
            </w:tcBorders>
            <w:shd w:val="clear" w:color="auto" w:fill="CCEEFF"/>
          </w:tcPr>
          <w:p>
            <w:pPr>
              <w:jc w:val="center"/>
              <w:ind w:left="1694"/>
              <w:spacing w:after="0"/>
              <w:rPr>
                <w:sz w:val="20"/>
                <w:szCs w:val="20"/>
                <w:color w:val="auto"/>
              </w:rPr>
            </w:pPr>
            <w:r>
              <w:rPr>
                <w:rFonts w:ascii="Times New Roman" w:cs="Times New Roman" w:eastAsia="Times New Roman" w:hAnsi="Times New Roman"/>
                <w:sz w:val="17"/>
                <w:szCs w:val="17"/>
                <w:color w:val="auto"/>
              </w:rPr>
              <w:t>$10,800,000</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$8,712,000</w:t>
            </w:r>
          </w:p>
        </w:tc>
        <w:tc>
          <w:tcPr>
            <w:tcW w:w="172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$6,600,000</w:t>
            </w:r>
          </w:p>
        </w:tc>
      </w:tr>
      <w:tr>
        <w:trPr>
          <w:trHeight w:val="258"/>
        </w:trPr>
        <w:tc>
          <w:tcPr>
            <w:tcW w:w="3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David T. Doherty</w:t>
            </w:r>
          </w:p>
        </w:tc>
        <w:tc>
          <w:tcPr>
            <w:tcW w:w="3600" w:type="dxa"/>
            <w:vAlign w:val="bottom"/>
          </w:tcPr>
          <w:p>
            <w:pPr>
              <w:jc w:val="center"/>
              <w:ind w:left="1714"/>
              <w:spacing w:after="0"/>
              <w:rPr>
                <w:sz w:val="20"/>
                <w:szCs w:val="20"/>
                <w:color w:val="auto"/>
              </w:rPr>
            </w:pPr>
            <w:r>
              <w:rPr>
                <w:rFonts w:ascii="Times New Roman" w:cs="Times New Roman" w:eastAsia="Times New Roman" w:hAnsi="Times New Roman"/>
                <w:sz w:val="17"/>
                <w:szCs w:val="17"/>
                <w:color w:val="auto"/>
                <w:w w:val="99"/>
              </w:rPr>
              <w:t>4,320,000</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3,960,000</w:t>
            </w:r>
          </w:p>
        </w:tc>
        <w:tc>
          <w:tcPr>
            <w:tcW w:w="172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2,100,000</w:t>
            </w:r>
          </w:p>
        </w:tc>
      </w:tr>
      <w:tr>
        <w:trPr>
          <w:trHeight w:val="238"/>
        </w:trPr>
        <w:tc>
          <w:tcPr>
            <w:tcW w:w="3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Jennifer B. Baldock</w:t>
            </w:r>
          </w:p>
        </w:tc>
        <w:tc>
          <w:tcPr>
            <w:tcW w:w="3600" w:type="dxa"/>
            <w:vAlign w:val="bottom"/>
            <w:tcBorders>
              <w:bottom w:val="single" w:sz="8" w:color="CCEEFF"/>
            </w:tcBorders>
            <w:shd w:val="clear" w:color="auto" w:fill="CCEEFF"/>
          </w:tcPr>
          <w:p>
            <w:pPr>
              <w:jc w:val="center"/>
              <w:ind w:left="1714"/>
              <w:spacing w:after="0"/>
              <w:rPr>
                <w:sz w:val="20"/>
                <w:szCs w:val="20"/>
                <w:color w:val="auto"/>
              </w:rPr>
            </w:pPr>
            <w:r>
              <w:rPr>
                <w:rFonts w:ascii="Times New Roman" w:cs="Times New Roman" w:eastAsia="Times New Roman" w:hAnsi="Times New Roman"/>
                <w:sz w:val="17"/>
                <w:szCs w:val="17"/>
                <w:color w:val="auto"/>
                <w:w w:val="99"/>
              </w:rPr>
              <w:t>3,240,000</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2,970,000</w:t>
            </w:r>
          </w:p>
        </w:tc>
        <w:tc>
          <w:tcPr>
            <w:tcW w:w="172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1,800,000</w:t>
            </w:r>
          </w:p>
        </w:tc>
      </w:tr>
      <w:tr>
        <w:trPr>
          <w:trHeight w:val="258"/>
        </w:trPr>
        <w:tc>
          <w:tcPr>
            <w:tcW w:w="3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Marissa A. Brittenham</w:t>
            </w:r>
          </w:p>
        </w:tc>
        <w:tc>
          <w:tcPr>
            <w:tcW w:w="3600" w:type="dxa"/>
            <w:vAlign w:val="bottom"/>
          </w:tcPr>
          <w:p>
            <w:pPr>
              <w:jc w:val="center"/>
              <w:ind w:left="1714"/>
              <w:spacing w:after="0"/>
              <w:rPr>
                <w:sz w:val="20"/>
                <w:szCs w:val="20"/>
                <w:color w:val="auto"/>
              </w:rPr>
            </w:pPr>
            <w:r>
              <w:rPr>
                <w:rFonts w:ascii="Times New Roman" w:cs="Times New Roman" w:eastAsia="Times New Roman" w:hAnsi="Times New Roman"/>
                <w:sz w:val="17"/>
                <w:szCs w:val="17"/>
                <w:color w:val="auto"/>
                <w:w w:val="99"/>
              </w:rPr>
              <w:t>1,296,000</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1,188,000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750,000</w:t>
            </w:r>
          </w:p>
        </w:tc>
      </w:tr>
      <w:tr>
        <w:trPr>
          <w:trHeight w:val="258"/>
        </w:trPr>
        <w:tc>
          <w:tcPr>
            <w:tcW w:w="3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 Trent Webb</w:t>
            </w:r>
          </w:p>
        </w:tc>
        <w:tc>
          <w:tcPr>
            <w:tcW w:w="3600" w:type="dxa"/>
            <w:vAlign w:val="bottom"/>
            <w:shd w:val="clear" w:color="auto" w:fill="CCEEFF"/>
          </w:tcPr>
          <w:p>
            <w:pPr>
              <w:jc w:val="center"/>
              <w:ind w:left="1714"/>
              <w:spacing w:after="0"/>
              <w:rPr>
                <w:sz w:val="20"/>
                <w:szCs w:val="20"/>
                <w:color w:val="auto"/>
              </w:rPr>
            </w:pPr>
            <w:r>
              <w:rPr>
                <w:rFonts w:ascii="Times New Roman" w:cs="Times New Roman" w:eastAsia="Times New Roman" w:hAnsi="Times New Roman"/>
                <w:sz w:val="17"/>
                <w:szCs w:val="17"/>
                <w:color w:val="auto"/>
                <w:w w:val="99"/>
              </w:rPr>
              <w:t>1,620,000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72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N/A</w:t>
            </w:r>
          </w:p>
        </w:tc>
      </w:tr>
      <w:tr>
        <w:trPr>
          <w:trHeight w:val="258"/>
        </w:trPr>
        <w:tc>
          <w:tcPr>
            <w:tcW w:w="3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Harrison R. Bane</w:t>
            </w:r>
          </w:p>
        </w:tc>
        <w:tc>
          <w:tcPr>
            <w:tcW w:w="3600" w:type="dxa"/>
            <w:vAlign w:val="bottom"/>
          </w:tcPr>
          <w:p>
            <w:pPr>
              <w:jc w:val="center"/>
              <w:ind w:left="1714"/>
              <w:spacing w:after="0"/>
              <w:rPr>
                <w:sz w:val="20"/>
                <w:szCs w:val="20"/>
                <w:color w:val="auto"/>
              </w:rPr>
            </w:pPr>
            <w:r>
              <w:rPr>
                <w:rFonts w:ascii="Times New Roman" w:cs="Times New Roman" w:eastAsia="Times New Roman" w:hAnsi="Times New Roman"/>
                <w:sz w:val="17"/>
                <w:szCs w:val="17"/>
                <w:color w:val="auto"/>
                <w:w w:val="99"/>
              </w:rPr>
              <w:t>2,214,000</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1,782,000</w:t>
            </w:r>
          </w:p>
        </w:tc>
        <w:tc>
          <w:tcPr>
            <w:tcW w:w="172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1,200,000</w:t>
            </w: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85725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left="320" w:right="340"/>
        <w:spacing w:after="0" w:line="271" w:lineRule="auto"/>
        <w:rPr>
          <w:sz w:val="20"/>
          <w:szCs w:val="20"/>
          <w:color w:val="auto"/>
        </w:rPr>
      </w:pPr>
      <w:r>
        <w:rPr>
          <w:rFonts w:ascii="Times New Roman" w:cs="Times New Roman" w:eastAsia="Times New Roman" w:hAnsi="Times New Roman"/>
          <w:sz w:val="17"/>
          <w:szCs w:val="17"/>
          <w:color w:val="auto"/>
        </w:rPr>
        <w:t>The underlying valuation assumptions for PSUs are further disclosed in footnotes to our consolidated financial statements filed with our annual reports on Form 10-K for the years ended December 31, 2025, 2024 and 2023.</w:t>
      </w:r>
    </w:p>
    <w:p>
      <w:pPr>
        <w:spacing w:after="0" w:line="61" w:lineRule="exact"/>
        <w:rPr>
          <w:sz w:val="20"/>
          <w:szCs w:val="20"/>
          <w:color w:val="auto"/>
        </w:rPr>
      </w:pPr>
    </w:p>
    <w:p>
      <w:pPr>
        <w:ind w:left="320" w:right="120" w:hanging="317"/>
        <w:spacing w:after="0" w:line="254" w:lineRule="auto"/>
        <w:tabs>
          <w:tab w:leader="none" w:pos="31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lieu of making the full cash incentive payment earned by each of the NEOs for achieving 2024 performance goals, the Compensation Committee determined that a portion of the payment to each NEO at the time would be settled with time-based restricted stock awards. The number of shares issued was based on the price of our common stock on the Nasdaq Stock Market as of the close of business on March 4, 2025. The time-based restricted stock awards vested in full on the first anniversary of the grant date.</w:t>
      </w:r>
    </w:p>
    <w:p>
      <w:pPr>
        <w:spacing w:after="0" w:line="10" w:lineRule="exact"/>
        <w:rPr>
          <w:rFonts w:ascii="Times New Roman" w:cs="Times New Roman" w:eastAsia="Times New Roman" w:hAnsi="Times New Roman"/>
          <w:sz w:val="17"/>
          <w:szCs w:val="17"/>
          <w:color w:val="auto"/>
        </w:rPr>
      </w:pPr>
    </w:p>
    <w:p>
      <w:pPr>
        <w:ind w:left="320" w:right="60" w:hanging="317"/>
        <w:spacing w:after="0" w:line="254" w:lineRule="auto"/>
        <w:tabs>
          <w:tab w:leader="none" w:pos="31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dollar amounts of cash incentives earned by our NEOs under our Cash Incentive Plan. Please refer to the section titled "Compensation Discussion and Analysis - Elements of Named Executive Officer Compensation - Short-Term Incentive Awards" above for additional details regarding our cash incentive program. Does not include awards under the Cash Incentive Plan for which shares of common stock have been issued in lieu of cash incentive payments, which awards are included in the “Stock Awards” column of the Summary Compensation Table.</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items set forth in the table below, as applicable to each NEO: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20" w:type="dxa"/>
            <w:vAlign w:val="bottom"/>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Company</w:t>
            </w:r>
          </w:p>
        </w:tc>
        <w:tc>
          <w:tcPr>
            <w:tcW w:w="206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Company contributions</w:t>
            </w: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800" w:type="dxa"/>
            <w:vAlign w:val="bottom"/>
            <w:vMerge w:val="restart"/>
          </w:tcPr>
          <w:p>
            <w:pPr>
              <w:ind w:left="17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520" w:type="dxa"/>
            <w:vAlign w:val="bottom"/>
          </w:tcPr>
          <w:p>
            <w:pPr>
              <w:jc w:val="center"/>
              <w:ind w:left="43"/>
              <w:spacing w:after="0" w:line="155" w:lineRule="exact"/>
              <w:rPr>
                <w:sz w:val="20"/>
                <w:szCs w:val="20"/>
                <w:color w:val="auto"/>
              </w:rPr>
            </w:pPr>
            <w:r>
              <w:rPr>
                <w:rFonts w:ascii="Times New Roman" w:cs="Times New Roman" w:eastAsia="Times New Roman" w:hAnsi="Times New Roman"/>
                <w:sz w:val="15"/>
                <w:szCs w:val="15"/>
                <w:b w:val="1"/>
                <w:bCs w:val="1"/>
                <w:color w:val="auto"/>
              </w:rPr>
              <w:t>401(k) match</w:t>
            </w:r>
          </w:p>
        </w:tc>
        <w:tc>
          <w:tcPr>
            <w:tcW w:w="206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under the NQDC and</w:t>
            </w:r>
          </w:p>
        </w:tc>
        <w:tc>
          <w:tcPr>
            <w:tcW w:w="14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b w:val="1"/>
                <w:bCs w:val="1"/>
                <w:color w:val="auto"/>
              </w:rPr>
              <w:t xml:space="preserve">Other </w:t>
            </w:r>
            <w:r>
              <w:rPr>
                <w:rFonts w:ascii="Times New Roman" w:cs="Times New Roman" w:eastAsia="Times New Roman" w:hAnsi="Times New Roman"/>
                <w:sz w:val="20"/>
                <w:szCs w:val="20"/>
                <w:b w:val="1"/>
                <w:bCs w:val="1"/>
                <w:color w:val="auto"/>
                <w:vertAlign w:val="superscript"/>
              </w:rPr>
              <w:t>(b)</w:t>
            </w:r>
          </w:p>
        </w:tc>
        <w:tc>
          <w:tcPr>
            <w:tcW w:w="1680" w:type="dxa"/>
            <w:vAlign w:val="bottom"/>
            <w:vMerge w:val="restart"/>
          </w:tcPr>
          <w:p>
            <w:pPr>
              <w:ind w:left="6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45"/>
        </w:trPr>
        <w:tc>
          <w:tcPr>
            <w:tcW w:w="380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52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w w:val="98"/>
              </w:rPr>
              <w:t xml:space="preserve">contributions </w:t>
            </w:r>
            <w:r>
              <w:rPr>
                <w:rFonts w:ascii="Times New Roman" w:cs="Times New Roman" w:eastAsia="Times New Roman" w:hAnsi="Times New Roman"/>
                <w:sz w:val="20"/>
                <w:szCs w:val="20"/>
                <w:b w:val="1"/>
                <w:bCs w:val="1"/>
                <w:color w:val="auto"/>
                <w:w w:val="98"/>
                <w:vertAlign w:val="superscript"/>
              </w:rPr>
              <w:t>(a)</w:t>
            </w:r>
          </w:p>
        </w:tc>
        <w:tc>
          <w:tcPr>
            <w:tcW w:w="20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w w:val="98"/>
              </w:rPr>
              <w:t>SERP</w:t>
            </w:r>
          </w:p>
        </w:tc>
        <w:tc>
          <w:tcPr>
            <w:tcW w:w="1420" w:type="dxa"/>
            <w:vAlign w:val="bottom"/>
            <w:tcBorders>
              <w:bottom w:val="single" w:sz="8" w:color="auto"/>
            </w:tcBorders>
            <w:vMerge w:val="continue"/>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J. Eric Evans</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2025</w:t>
            </w:r>
          </w:p>
        </w:tc>
        <w:tc>
          <w:tcPr>
            <w:tcW w:w="152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5"/>
                <w:szCs w:val="15"/>
                <w:color w:val="auto"/>
              </w:rPr>
              <w:t>$10,500</w:t>
            </w:r>
          </w:p>
        </w:tc>
        <w:tc>
          <w:tcPr>
            <w:tcW w:w="206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$10,842</w:t>
            </w:r>
          </w:p>
        </w:tc>
        <w:tc>
          <w:tcPr>
            <w:tcW w:w="1420" w:type="dxa"/>
            <w:vAlign w:val="bottom"/>
            <w:shd w:val="clear" w:color="auto" w:fill="CCEEFF"/>
          </w:tcPr>
          <w:p>
            <w:pPr>
              <w:jc w:val="center"/>
              <w:ind w:right="203"/>
              <w:spacing w:after="0"/>
              <w:rPr>
                <w:sz w:val="20"/>
                <w:szCs w:val="20"/>
                <w:color w:val="auto"/>
              </w:rPr>
            </w:pPr>
            <w:r>
              <w:rPr>
                <w:rFonts w:ascii="Times New Roman" w:cs="Times New Roman" w:eastAsia="Times New Roman" w:hAnsi="Times New Roman"/>
                <w:sz w:val="15"/>
                <w:szCs w:val="15"/>
                <w:color w:val="auto"/>
              </w:rPr>
              <w:t>$1,000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$22,342</w:t>
            </w:r>
          </w:p>
        </w:tc>
        <w:tc>
          <w:tcPr>
            <w:tcW w:w="0" w:type="dxa"/>
            <w:vAlign w:val="bottom"/>
          </w:tcPr>
          <w:p>
            <w:pPr>
              <w:spacing w:after="0"/>
              <w:rPr>
                <w:sz w:val="1"/>
                <w:szCs w:val="1"/>
                <w:color w:val="auto"/>
              </w:rPr>
            </w:pPr>
          </w:p>
        </w:tc>
      </w:tr>
      <w:tr>
        <w:trPr>
          <w:trHeight w:val="245"/>
        </w:trPr>
        <w:tc>
          <w:tcPr>
            <w:tcW w:w="3800" w:type="dxa"/>
            <w:vAlign w:val="bottom"/>
            <w:shd w:val="clear" w:color="auto" w:fill="CCEEFF"/>
          </w:tcPr>
          <w:p>
            <w:pPr>
              <w:spacing w:after="0"/>
              <w:rPr>
                <w:sz w:val="21"/>
                <w:szCs w:val="21"/>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2024</w:t>
            </w:r>
          </w:p>
        </w:tc>
        <w:tc>
          <w:tcPr>
            <w:tcW w:w="152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5"/>
                <w:szCs w:val="15"/>
                <w:color w:val="auto"/>
              </w:rPr>
              <w:t>10,350</w:t>
            </w:r>
          </w:p>
        </w:tc>
        <w:tc>
          <w:tcPr>
            <w:tcW w:w="206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shd w:val="clear" w:color="auto" w:fill="CCEEFF"/>
          </w:tcPr>
          <w:p>
            <w:pPr>
              <w:jc w:val="center"/>
              <w:ind w:right="203"/>
              <w:spacing w:after="0"/>
              <w:rPr>
                <w:sz w:val="20"/>
                <w:szCs w:val="20"/>
                <w:color w:val="auto"/>
              </w:rPr>
            </w:pPr>
            <w:r>
              <w:rPr>
                <w:rFonts w:ascii="Times New Roman" w:cs="Times New Roman" w:eastAsia="Times New Roman" w:hAnsi="Times New Roman"/>
                <w:sz w:val="15"/>
                <w:szCs w:val="15"/>
                <w:color w:val="auto"/>
              </w:rPr>
              <w:t>1,000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11,350</w:t>
            </w:r>
          </w:p>
        </w:tc>
        <w:tc>
          <w:tcPr>
            <w:tcW w:w="0" w:type="dxa"/>
            <w:vAlign w:val="bottom"/>
          </w:tcPr>
          <w:p>
            <w:pPr>
              <w:spacing w:after="0"/>
              <w:rPr>
                <w:sz w:val="1"/>
                <w:szCs w:val="1"/>
                <w:color w:val="auto"/>
              </w:rPr>
            </w:pPr>
          </w:p>
        </w:tc>
      </w:tr>
      <w:tr>
        <w:trPr>
          <w:trHeight w:val="251"/>
        </w:trPr>
        <w:tc>
          <w:tcPr>
            <w:tcW w:w="3800" w:type="dxa"/>
            <w:vAlign w:val="bottom"/>
            <w:shd w:val="clear" w:color="auto" w:fill="CCEEFF"/>
          </w:tcPr>
          <w:p>
            <w:pPr>
              <w:spacing w:after="0"/>
              <w:rPr>
                <w:sz w:val="21"/>
                <w:szCs w:val="21"/>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2023</w:t>
            </w:r>
          </w:p>
        </w:tc>
        <w:tc>
          <w:tcPr>
            <w:tcW w:w="152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5"/>
                <w:szCs w:val="15"/>
                <w:color w:val="auto"/>
              </w:rPr>
              <w:t>6,600</w:t>
            </w:r>
          </w:p>
        </w:tc>
        <w:tc>
          <w:tcPr>
            <w:tcW w:w="206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shd w:val="clear" w:color="auto" w:fill="CCEEFF"/>
          </w:tcPr>
          <w:p>
            <w:pPr>
              <w:jc w:val="center"/>
              <w:ind w:right="203"/>
              <w:spacing w:after="0"/>
              <w:rPr>
                <w:sz w:val="20"/>
                <w:szCs w:val="20"/>
                <w:color w:val="auto"/>
              </w:rPr>
            </w:pPr>
            <w:r>
              <w:rPr>
                <w:rFonts w:ascii="Times New Roman" w:cs="Times New Roman" w:eastAsia="Times New Roman" w:hAnsi="Times New Roman"/>
                <w:sz w:val="15"/>
                <w:szCs w:val="15"/>
                <w:color w:val="auto"/>
              </w:rPr>
              <w:t>1,000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7,600</w:t>
            </w:r>
          </w:p>
        </w:tc>
        <w:tc>
          <w:tcPr>
            <w:tcW w:w="0" w:type="dxa"/>
            <w:vAlign w:val="bottom"/>
          </w:tcPr>
          <w:p>
            <w:pPr>
              <w:spacing w:after="0"/>
              <w:rPr>
                <w:sz w:val="1"/>
                <w:szCs w:val="1"/>
                <w:color w:val="auto"/>
              </w:rPr>
            </w:pPr>
          </w:p>
        </w:tc>
      </w:tr>
      <w:tr>
        <w:trPr>
          <w:trHeight w:val="226"/>
        </w:trPr>
        <w:tc>
          <w:tcPr>
            <w:tcW w:w="38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David T. Doherty</w:t>
            </w:r>
          </w:p>
        </w:tc>
        <w:tc>
          <w:tcPr>
            <w:tcW w:w="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2025</w:t>
            </w:r>
          </w:p>
        </w:tc>
        <w:tc>
          <w:tcPr>
            <w:tcW w:w="152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rPr>
              <w:t>10,500</w:t>
            </w:r>
          </w:p>
        </w:tc>
        <w:tc>
          <w:tcPr>
            <w:tcW w:w="206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tcPr>
          <w:p>
            <w:pPr>
              <w:jc w:val="center"/>
              <w:ind w:right="203"/>
              <w:spacing w:after="0"/>
              <w:rPr>
                <w:sz w:val="20"/>
                <w:szCs w:val="20"/>
                <w:color w:val="auto"/>
              </w:rPr>
            </w:pPr>
            <w:r>
              <w:rPr>
                <w:rFonts w:ascii="Times New Roman" w:cs="Times New Roman" w:eastAsia="Times New Roman" w:hAnsi="Times New Roman"/>
                <w:sz w:val="15"/>
                <w:szCs w:val="15"/>
                <w:color w:val="auto"/>
                <w:w w:val="93"/>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10,500</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2024</w:t>
            </w:r>
          </w:p>
        </w:tc>
        <w:tc>
          <w:tcPr>
            <w:tcW w:w="152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rPr>
              <w:t>10,350</w:t>
            </w:r>
          </w:p>
        </w:tc>
        <w:tc>
          <w:tcPr>
            <w:tcW w:w="206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tcPr>
          <w:p>
            <w:pPr>
              <w:jc w:val="center"/>
              <w:ind w:right="203"/>
              <w:spacing w:after="0"/>
              <w:rPr>
                <w:sz w:val="20"/>
                <w:szCs w:val="20"/>
                <w:color w:val="auto"/>
              </w:rPr>
            </w:pPr>
            <w:r>
              <w:rPr>
                <w:rFonts w:ascii="Times New Roman" w:cs="Times New Roman" w:eastAsia="Times New Roman" w:hAnsi="Times New Roman"/>
                <w:sz w:val="15"/>
                <w:szCs w:val="15"/>
                <w:color w:val="auto"/>
                <w:w w:val="93"/>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10,350</w:t>
            </w:r>
          </w:p>
        </w:tc>
        <w:tc>
          <w:tcPr>
            <w:tcW w:w="0" w:type="dxa"/>
            <w:vAlign w:val="bottom"/>
          </w:tcPr>
          <w:p>
            <w:pPr>
              <w:spacing w:after="0"/>
              <w:rPr>
                <w:sz w:val="1"/>
                <w:szCs w:val="1"/>
                <w:color w:val="auto"/>
              </w:rPr>
            </w:pPr>
          </w:p>
        </w:tc>
      </w:tr>
      <w:tr>
        <w:trPr>
          <w:trHeight w:val="241"/>
        </w:trPr>
        <w:tc>
          <w:tcPr>
            <w:tcW w:w="3800" w:type="dxa"/>
            <w:vAlign w:val="bottom"/>
          </w:tcPr>
          <w:p>
            <w:pPr>
              <w:spacing w:after="0"/>
              <w:rPr>
                <w:sz w:val="20"/>
                <w:szCs w:val="20"/>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2023</w:t>
            </w:r>
          </w:p>
        </w:tc>
        <w:tc>
          <w:tcPr>
            <w:tcW w:w="152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rPr>
              <w:t>6,600</w:t>
            </w:r>
          </w:p>
        </w:tc>
        <w:tc>
          <w:tcPr>
            <w:tcW w:w="206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tcPr>
          <w:p>
            <w:pPr>
              <w:jc w:val="center"/>
              <w:ind w:right="203"/>
              <w:spacing w:after="0"/>
              <w:rPr>
                <w:sz w:val="20"/>
                <w:szCs w:val="20"/>
                <w:color w:val="auto"/>
              </w:rPr>
            </w:pPr>
            <w:r>
              <w:rPr>
                <w:rFonts w:ascii="Times New Roman" w:cs="Times New Roman" w:eastAsia="Times New Roman" w:hAnsi="Times New Roman"/>
                <w:sz w:val="15"/>
                <w:szCs w:val="15"/>
                <w:color w:val="auto"/>
                <w:w w:val="93"/>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6,600</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Jennifer B. Baldock</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2025</w:t>
            </w:r>
          </w:p>
        </w:tc>
        <w:tc>
          <w:tcPr>
            <w:tcW w:w="152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5"/>
                <w:szCs w:val="15"/>
                <w:color w:val="auto"/>
              </w:rPr>
              <w:t>10,500</w:t>
            </w:r>
          </w:p>
        </w:tc>
        <w:tc>
          <w:tcPr>
            <w:tcW w:w="206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12,000</w:t>
            </w:r>
          </w:p>
        </w:tc>
        <w:tc>
          <w:tcPr>
            <w:tcW w:w="1420" w:type="dxa"/>
            <w:vAlign w:val="bottom"/>
            <w:shd w:val="clear" w:color="auto" w:fill="CCEEFF"/>
          </w:tcPr>
          <w:p>
            <w:pPr>
              <w:jc w:val="center"/>
              <w:ind w:right="203"/>
              <w:spacing w:after="0"/>
              <w:rPr>
                <w:sz w:val="20"/>
                <w:szCs w:val="20"/>
                <w:color w:val="auto"/>
              </w:rPr>
            </w:pPr>
            <w:r>
              <w:rPr>
                <w:rFonts w:ascii="Times New Roman" w:cs="Times New Roman" w:eastAsia="Times New Roman" w:hAnsi="Times New Roman"/>
                <w:sz w:val="15"/>
                <w:szCs w:val="15"/>
                <w:color w:val="auto"/>
              </w:rPr>
              <w:t>1,000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23,500</w:t>
            </w:r>
          </w:p>
        </w:tc>
        <w:tc>
          <w:tcPr>
            <w:tcW w:w="0" w:type="dxa"/>
            <w:vAlign w:val="bottom"/>
          </w:tcPr>
          <w:p>
            <w:pPr>
              <w:spacing w:after="0"/>
              <w:rPr>
                <w:sz w:val="1"/>
                <w:szCs w:val="1"/>
                <w:color w:val="auto"/>
              </w:rPr>
            </w:pPr>
          </w:p>
        </w:tc>
      </w:tr>
      <w:tr>
        <w:trPr>
          <w:trHeight w:val="245"/>
        </w:trPr>
        <w:tc>
          <w:tcPr>
            <w:tcW w:w="3800" w:type="dxa"/>
            <w:vAlign w:val="bottom"/>
            <w:shd w:val="clear" w:color="auto" w:fill="CCEEFF"/>
          </w:tcPr>
          <w:p>
            <w:pPr>
              <w:spacing w:after="0"/>
              <w:rPr>
                <w:sz w:val="21"/>
                <w:szCs w:val="21"/>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2024</w:t>
            </w:r>
          </w:p>
        </w:tc>
        <w:tc>
          <w:tcPr>
            <w:tcW w:w="152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5"/>
                <w:szCs w:val="15"/>
                <w:color w:val="auto"/>
              </w:rPr>
              <w:t>10,350</w:t>
            </w:r>
          </w:p>
        </w:tc>
        <w:tc>
          <w:tcPr>
            <w:tcW w:w="206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11,600</w:t>
            </w:r>
          </w:p>
        </w:tc>
        <w:tc>
          <w:tcPr>
            <w:tcW w:w="1420" w:type="dxa"/>
            <w:vAlign w:val="bottom"/>
            <w:shd w:val="clear" w:color="auto" w:fill="CCEEFF"/>
          </w:tcPr>
          <w:p>
            <w:pPr>
              <w:jc w:val="center"/>
              <w:ind w:right="203"/>
              <w:spacing w:after="0"/>
              <w:rPr>
                <w:sz w:val="20"/>
                <w:szCs w:val="20"/>
                <w:color w:val="auto"/>
              </w:rPr>
            </w:pPr>
            <w:r>
              <w:rPr>
                <w:rFonts w:ascii="Times New Roman" w:cs="Times New Roman" w:eastAsia="Times New Roman" w:hAnsi="Times New Roman"/>
                <w:sz w:val="15"/>
                <w:szCs w:val="15"/>
                <w:color w:val="auto"/>
              </w:rPr>
              <w:t>1,000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22,950</w:t>
            </w:r>
          </w:p>
        </w:tc>
        <w:tc>
          <w:tcPr>
            <w:tcW w:w="0" w:type="dxa"/>
            <w:vAlign w:val="bottom"/>
          </w:tcPr>
          <w:p>
            <w:pPr>
              <w:spacing w:after="0"/>
              <w:rPr>
                <w:sz w:val="1"/>
                <w:szCs w:val="1"/>
                <w:color w:val="auto"/>
              </w:rPr>
            </w:pPr>
          </w:p>
        </w:tc>
      </w:tr>
      <w:tr>
        <w:trPr>
          <w:trHeight w:val="251"/>
        </w:trPr>
        <w:tc>
          <w:tcPr>
            <w:tcW w:w="3800" w:type="dxa"/>
            <w:vAlign w:val="bottom"/>
            <w:shd w:val="clear" w:color="auto" w:fill="CCEEFF"/>
          </w:tcPr>
          <w:p>
            <w:pPr>
              <w:spacing w:after="0"/>
              <w:rPr>
                <w:sz w:val="21"/>
                <w:szCs w:val="21"/>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2023</w:t>
            </w:r>
          </w:p>
        </w:tc>
        <w:tc>
          <w:tcPr>
            <w:tcW w:w="152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5"/>
                <w:szCs w:val="15"/>
                <w:color w:val="auto"/>
              </w:rPr>
              <w:t>6,600</w:t>
            </w:r>
          </w:p>
        </w:tc>
        <w:tc>
          <w:tcPr>
            <w:tcW w:w="206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10,700</w:t>
            </w:r>
          </w:p>
        </w:tc>
        <w:tc>
          <w:tcPr>
            <w:tcW w:w="1420" w:type="dxa"/>
            <w:vAlign w:val="bottom"/>
            <w:shd w:val="clear" w:color="auto" w:fill="CCEEFF"/>
          </w:tcPr>
          <w:p>
            <w:pPr>
              <w:jc w:val="center"/>
              <w:ind w:right="203"/>
              <w:spacing w:after="0"/>
              <w:rPr>
                <w:sz w:val="20"/>
                <w:szCs w:val="20"/>
                <w:color w:val="auto"/>
              </w:rPr>
            </w:pPr>
            <w:r>
              <w:rPr>
                <w:rFonts w:ascii="Times New Roman" w:cs="Times New Roman" w:eastAsia="Times New Roman" w:hAnsi="Times New Roman"/>
                <w:sz w:val="15"/>
                <w:szCs w:val="15"/>
                <w:color w:val="auto"/>
              </w:rPr>
              <w:t>1,000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18,300</w:t>
            </w:r>
          </w:p>
        </w:tc>
        <w:tc>
          <w:tcPr>
            <w:tcW w:w="0" w:type="dxa"/>
            <w:vAlign w:val="bottom"/>
          </w:tcPr>
          <w:p>
            <w:pPr>
              <w:spacing w:after="0"/>
              <w:rPr>
                <w:sz w:val="1"/>
                <w:szCs w:val="1"/>
                <w:color w:val="auto"/>
              </w:rPr>
            </w:pPr>
          </w:p>
        </w:tc>
      </w:tr>
      <w:tr>
        <w:trPr>
          <w:trHeight w:val="226"/>
        </w:trPr>
        <w:tc>
          <w:tcPr>
            <w:tcW w:w="38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Marissa A. Brittenham</w:t>
            </w:r>
          </w:p>
        </w:tc>
        <w:tc>
          <w:tcPr>
            <w:tcW w:w="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2025</w:t>
            </w:r>
          </w:p>
        </w:tc>
        <w:tc>
          <w:tcPr>
            <w:tcW w:w="152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rPr>
              <w:t>10,500</w:t>
            </w:r>
          </w:p>
        </w:tc>
        <w:tc>
          <w:tcPr>
            <w:tcW w:w="206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tcPr>
          <w:p>
            <w:pPr>
              <w:jc w:val="center"/>
              <w:ind w:right="203"/>
              <w:spacing w:after="0"/>
              <w:rPr>
                <w:sz w:val="20"/>
                <w:szCs w:val="20"/>
                <w:color w:val="auto"/>
              </w:rPr>
            </w:pPr>
            <w:r>
              <w:rPr>
                <w:rFonts w:ascii="Times New Roman" w:cs="Times New Roman" w:eastAsia="Times New Roman" w:hAnsi="Times New Roman"/>
                <w:sz w:val="15"/>
                <w:szCs w:val="15"/>
                <w:color w:val="auto"/>
                <w:w w:val="97"/>
              </w:rPr>
              <w:t>500</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11,000</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2024</w:t>
            </w:r>
          </w:p>
        </w:tc>
        <w:tc>
          <w:tcPr>
            <w:tcW w:w="152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rPr>
              <w:t>10,350</w:t>
            </w:r>
          </w:p>
        </w:tc>
        <w:tc>
          <w:tcPr>
            <w:tcW w:w="206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tcPr>
          <w:p>
            <w:pPr>
              <w:jc w:val="center"/>
              <w:ind w:right="203"/>
              <w:spacing w:after="0"/>
              <w:rPr>
                <w:sz w:val="20"/>
                <w:szCs w:val="20"/>
                <w:color w:val="auto"/>
              </w:rPr>
            </w:pPr>
            <w:r>
              <w:rPr>
                <w:rFonts w:ascii="Times New Roman" w:cs="Times New Roman" w:eastAsia="Times New Roman" w:hAnsi="Times New Roman"/>
                <w:sz w:val="15"/>
                <w:szCs w:val="15"/>
                <w:color w:val="auto"/>
                <w:w w:val="97"/>
              </w:rPr>
              <w:t>500</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10,850</w:t>
            </w:r>
          </w:p>
        </w:tc>
        <w:tc>
          <w:tcPr>
            <w:tcW w:w="0" w:type="dxa"/>
            <w:vAlign w:val="bottom"/>
          </w:tcPr>
          <w:p>
            <w:pPr>
              <w:spacing w:after="0"/>
              <w:rPr>
                <w:sz w:val="1"/>
                <w:szCs w:val="1"/>
                <w:color w:val="auto"/>
              </w:rPr>
            </w:pPr>
          </w:p>
        </w:tc>
      </w:tr>
      <w:tr>
        <w:trPr>
          <w:trHeight w:val="241"/>
        </w:trPr>
        <w:tc>
          <w:tcPr>
            <w:tcW w:w="3800" w:type="dxa"/>
            <w:vAlign w:val="bottom"/>
          </w:tcPr>
          <w:p>
            <w:pPr>
              <w:spacing w:after="0"/>
              <w:rPr>
                <w:sz w:val="20"/>
                <w:szCs w:val="20"/>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2023</w:t>
            </w:r>
          </w:p>
        </w:tc>
        <w:tc>
          <w:tcPr>
            <w:tcW w:w="152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rPr>
              <w:t>6,600</w:t>
            </w:r>
          </w:p>
        </w:tc>
        <w:tc>
          <w:tcPr>
            <w:tcW w:w="206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tcPr>
          <w:p>
            <w:pPr>
              <w:jc w:val="center"/>
              <w:ind w:right="203"/>
              <w:spacing w:after="0"/>
              <w:rPr>
                <w:sz w:val="20"/>
                <w:szCs w:val="20"/>
                <w:color w:val="auto"/>
              </w:rPr>
            </w:pPr>
            <w:r>
              <w:rPr>
                <w:rFonts w:ascii="Times New Roman" w:cs="Times New Roman" w:eastAsia="Times New Roman" w:hAnsi="Times New Roman"/>
                <w:sz w:val="15"/>
                <w:szCs w:val="15"/>
                <w:color w:val="auto"/>
                <w:w w:val="97"/>
              </w:rPr>
              <w:t>500</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7,100</w:t>
            </w:r>
          </w:p>
        </w:tc>
        <w:tc>
          <w:tcPr>
            <w:tcW w:w="0" w:type="dxa"/>
            <w:vAlign w:val="bottom"/>
          </w:tcPr>
          <w:p>
            <w:pPr>
              <w:spacing w:after="0"/>
              <w:rPr>
                <w:sz w:val="1"/>
                <w:szCs w:val="1"/>
                <w:color w:val="auto"/>
              </w:rPr>
            </w:pPr>
          </w:p>
        </w:tc>
      </w:tr>
      <w:tr>
        <w:trPr>
          <w:trHeight w:val="241"/>
        </w:trPr>
        <w:tc>
          <w:tcPr>
            <w:tcW w:w="3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 Trent Webb</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2025</w:t>
            </w:r>
          </w:p>
        </w:tc>
        <w:tc>
          <w:tcPr>
            <w:tcW w:w="152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5"/>
                <w:szCs w:val="15"/>
                <w:color w:val="auto"/>
              </w:rPr>
              <w:t>8,875</w:t>
            </w:r>
          </w:p>
        </w:tc>
        <w:tc>
          <w:tcPr>
            <w:tcW w:w="206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shd w:val="clear" w:color="auto" w:fill="CCEEFF"/>
          </w:tcPr>
          <w:p>
            <w:pPr>
              <w:jc w:val="center"/>
              <w:ind w:right="203"/>
              <w:spacing w:after="0"/>
              <w:rPr>
                <w:sz w:val="20"/>
                <w:szCs w:val="20"/>
                <w:color w:val="auto"/>
              </w:rPr>
            </w:pPr>
            <w:r>
              <w:rPr>
                <w:rFonts w:ascii="Times New Roman" w:cs="Times New Roman" w:eastAsia="Times New Roman" w:hAnsi="Times New Roman"/>
                <w:sz w:val="15"/>
                <w:szCs w:val="15"/>
                <w:color w:val="auto"/>
                <w:w w:val="97"/>
              </w:rPr>
              <w:t>900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9,775</w:t>
            </w:r>
          </w:p>
        </w:tc>
        <w:tc>
          <w:tcPr>
            <w:tcW w:w="0" w:type="dxa"/>
            <w:vAlign w:val="bottom"/>
          </w:tcPr>
          <w:p>
            <w:pPr>
              <w:spacing w:after="0"/>
              <w:rPr>
                <w:sz w:val="1"/>
                <w:szCs w:val="1"/>
                <w:color w:val="auto"/>
              </w:rPr>
            </w:pPr>
          </w:p>
        </w:tc>
      </w:tr>
      <w:tr>
        <w:trPr>
          <w:trHeight w:val="226"/>
        </w:trPr>
        <w:tc>
          <w:tcPr>
            <w:tcW w:w="38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Harrison R. Bane</w:t>
            </w:r>
          </w:p>
        </w:tc>
        <w:tc>
          <w:tcPr>
            <w:tcW w:w="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2025</w:t>
            </w:r>
          </w:p>
        </w:tc>
        <w:tc>
          <w:tcPr>
            <w:tcW w:w="152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rPr>
              <w:t>8,132</w:t>
            </w:r>
          </w:p>
        </w:tc>
        <w:tc>
          <w:tcPr>
            <w:tcW w:w="206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tcPr>
          <w:p>
            <w:pPr>
              <w:jc w:val="center"/>
              <w:ind w:right="203"/>
              <w:spacing w:after="0"/>
              <w:rPr>
                <w:sz w:val="20"/>
                <w:szCs w:val="20"/>
                <w:color w:val="auto"/>
              </w:rPr>
            </w:pPr>
            <w:r>
              <w:rPr>
                <w:rFonts w:ascii="Times New Roman" w:cs="Times New Roman" w:eastAsia="Times New Roman" w:hAnsi="Times New Roman"/>
                <w:sz w:val="15"/>
                <w:szCs w:val="15"/>
                <w:color w:val="auto"/>
                <w:w w:val="97"/>
              </w:rPr>
              <w:t>917</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9,049</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2024</w:t>
            </w:r>
          </w:p>
        </w:tc>
        <w:tc>
          <w:tcPr>
            <w:tcW w:w="152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rPr>
              <w:t>10,350</w:t>
            </w:r>
          </w:p>
        </w:tc>
        <w:tc>
          <w:tcPr>
            <w:tcW w:w="206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tcPr>
          <w:p>
            <w:pPr>
              <w:jc w:val="center"/>
              <w:ind w:right="203"/>
              <w:spacing w:after="0"/>
              <w:rPr>
                <w:sz w:val="20"/>
                <w:szCs w:val="20"/>
                <w:color w:val="auto"/>
              </w:rPr>
            </w:pPr>
            <w:r>
              <w:rPr>
                <w:rFonts w:ascii="Times New Roman" w:cs="Times New Roman" w:eastAsia="Times New Roman" w:hAnsi="Times New Roman"/>
                <w:sz w:val="15"/>
                <w:szCs w:val="15"/>
                <w:color w:val="auto"/>
              </w:rPr>
              <w:t>1,000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11,350</w:t>
            </w:r>
          </w:p>
        </w:tc>
        <w:tc>
          <w:tcPr>
            <w:tcW w:w="0" w:type="dxa"/>
            <w:vAlign w:val="bottom"/>
          </w:tcPr>
          <w:p>
            <w:pPr>
              <w:spacing w:after="0"/>
              <w:rPr>
                <w:sz w:val="1"/>
                <w:szCs w:val="1"/>
                <w:color w:val="auto"/>
              </w:rPr>
            </w:pPr>
          </w:p>
        </w:tc>
      </w:tr>
      <w:tr>
        <w:trPr>
          <w:trHeight w:val="232"/>
        </w:trPr>
        <w:tc>
          <w:tcPr>
            <w:tcW w:w="3800" w:type="dxa"/>
            <w:vAlign w:val="bottom"/>
          </w:tcPr>
          <w:p>
            <w:pPr>
              <w:spacing w:after="0"/>
              <w:rPr>
                <w:sz w:val="20"/>
                <w:szCs w:val="20"/>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2023</w:t>
            </w:r>
          </w:p>
        </w:tc>
        <w:tc>
          <w:tcPr>
            <w:tcW w:w="152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rPr>
              <w:t>3,029</w:t>
            </w:r>
          </w:p>
        </w:tc>
        <w:tc>
          <w:tcPr>
            <w:tcW w:w="206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tcPr>
          <w:p>
            <w:pPr>
              <w:jc w:val="center"/>
              <w:ind w:right="203"/>
              <w:spacing w:after="0"/>
              <w:rPr>
                <w:sz w:val="20"/>
                <w:szCs w:val="20"/>
                <w:color w:val="auto"/>
              </w:rPr>
            </w:pPr>
            <w:r>
              <w:rPr>
                <w:rFonts w:ascii="Times New Roman" w:cs="Times New Roman" w:eastAsia="Times New Roman" w:hAnsi="Times New Roman"/>
                <w:sz w:val="15"/>
                <w:szCs w:val="15"/>
                <w:color w:val="auto"/>
              </w:rPr>
              <w:t>1,000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4,029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_______</w:t>
      </w:r>
    </w:p>
    <w:p>
      <w:pPr>
        <w:spacing w:after="0" w:line="165" w:lineRule="exact"/>
        <w:rPr>
          <w:sz w:val="20"/>
          <w:szCs w:val="20"/>
          <w:color w:val="auto"/>
        </w:rPr>
      </w:pPr>
    </w:p>
    <w:p>
      <w:pPr>
        <w:ind w:left="700" w:hanging="310"/>
        <w:spacing w:after="0"/>
        <w:tabs>
          <w:tab w:leader="none" w:pos="7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Company matching contributions to the Company's 401(k) Plan which is a broad-based tax-qualified defined contribution plan.</w:t>
      </w:r>
    </w:p>
    <w:p>
      <w:pPr>
        <w:spacing w:after="0" w:line="62"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cell phone reimbursement and Company contributions to the NEOs' health savings accounts for the applicable year.</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Grants of Plan-Based Awards</w:t>
      </w:r>
    </w:p>
    <w:p>
      <w:pPr>
        <w:spacing w:after="0" w:line="157" w:lineRule="exact"/>
        <w:rPr>
          <w:sz w:val="20"/>
          <w:szCs w:val="20"/>
          <w:color w:val="auto"/>
        </w:rPr>
      </w:pPr>
    </w:p>
    <w:p>
      <w:pPr>
        <w:ind w:right="620" w:firstLine="309"/>
        <w:spacing w:after="0" w:line="271" w:lineRule="auto"/>
        <w:rPr>
          <w:sz w:val="20"/>
          <w:szCs w:val="20"/>
          <w:color w:val="auto"/>
        </w:rPr>
      </w:pPr>
      <w:r>
        <w:rPr>
          <w:rFonts w:ascii="Times New Roman" w:cs="Times New Roman" w:eastAsia="Times New Roman" w:hAnsi="Times New Roman"/>
          <w:sz w:val="17"/>
          <w:szCs w:val="17"/>
          <w:color w:val="auto"/>
        </w:rPr>
        <w:t>The following table sets forth information regarding grants of non-equity and equity-based awards granted to each of our NEOs during the year ended December 31, 2025.</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Estimated Future Payouts Under Non-</w:t>
            </w: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 Future Payouts Under Equity</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4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4"/>
                <w:szCs w:val="14"/>
                <w:b w:val="1"/>
                <w:bCs w:val="1"/>
                <w:color w:val="auto"/>
                <w:w w:val="96"/>
              </w:rPr>
              <w:t>Equity Incentive Plan Awards</w:t>
            </w:r>
            <w:r>
              <w:rPr>
                <w:rFonts w:ascii="Times New Roman" w:cs="Times New Roman" w:eastAsia="Times New Roman" w:hAnsi="Times New Roman"/>
                <w:sz w:val="17"/>
                <w:szCs w:val="17"/>
                <w:b w:val="1"/>
                <w:bCs w:val="1"/>
                <w:color w:val="auto"/>
                <w:w w:val="96"/>
                <w:vertAlign w:val="superscript"/>
              </w:rPr>
              <w:t>(1)</w:t>
            </w: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Incentive Plan Awards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stock</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7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57"/>
        </w:trPr>
        <w:tc>
          <w:tcPr>
            <w:tcW w:w="17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7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vMerge w:val="restart"/>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9"/>
              </w:rPr>
              <w:t>Threshold (#</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Target (# of</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Maximum (#</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value of stock</w:t>
            </w:r>
          </w:p>
        </w:tc>
        <w:tc>
          <w:tcPr>
            <w:tcW w:w="0" w:type="dxa"/>
            <w:vAlign w:val="bottom"/>
          </w:tcPr>
          <w:p>
            <w:pPr>
              <w:spacing w:after="0"/>
              <w:rPr>
                <w:sz w:val="1"/>
                <w:szCs w:val="1"/>
                <w:color w:val="auto"/>
              </w:rPr>
            </w:pPr>
          </w:p>
        </w:tc>
      </w:tr>
      <w:tr>
        <w:trPr>
          <w:trHeight w:val="142"/>
        </w:trPr>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Type of Award</w:t>
            </w:r>
          </w:p>
        </w:tc>
        <w:tc>
          <w:tcPr>
            <w:tcW w:w="760" w:type="dxa"/>
            <w:vAlign w:val="bottom"/>
            <w:vMerge w:val="continue"/>
          </w:tcPr>
          <w:p>
            <w:pPr>
              <w:spacing w:after="0"/>
              <w:rPr>
                <w:sz w:val="12"/>
                <w:szCs w:val="12"/>
                <w:color w:val="auto"/>
              </w:rPr>
            </w:pP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stock (# of</w:t>
            </w: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and option</w:t>
            </w:r>
          </w:p>
        </w:tc>
        <w:tc>
          <w:tcPr>
            <w:tcW w:w="0" w:type="dxa"/>
            <w:vAlign w:val="bottom"/>
          </w:tcPr>
          <w:p>
            <w:pPr>
              <w:spacing w:after="0"/>
              <w:rPr>
                <w:sz w:val="1"/>
                <w:szCs w:val="1"/>
                <w:color w:val="auto"/>
              </w:rPr>
            </w:pPr>
          </w:p>
        </w:tc>
      </w:tr>
      <w:tr>
        <w:trPr>
          <w:trHeight w:val="182"/>
        </w:trPr>
        <w:tc>
          <w:tcPr>
            <w:tcW w:w="174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9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6"/>
              </w:rPr>
              <w:t>of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shares)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w:t>
            </w:r>
          </w:p>
        </w:tc>
        <w:tc>
          <w:tcPr>
            <w:tcW w:w="0" w:type="dxa"/>
            <w:vAlign w:val="bottom"/>
          </w:tcPr>
          <w:p>
            <w:pPr>
              <w:spacing w:after="0"/>
              <w:rPr>
                <w:sz w:val="1"/>
                <w:szCs w:val="1"/>
                <w:color w:val="auto"/>
              </w:rPr>
            </w:pPr>
          </w:p>
        </w:tc>
      </w:tr>
      <w:tr>
        <w:trPr>
          <w:trHeight w:val="37"/>
        </w:trPr>
        <w:tc>
          <w:tcPr>
            <w:tcW w:w="1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J. Eric Evans</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Incentive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$315,000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$1,260,000</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$2,520,000</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0" w:type="dxa"/>
            <w:vAlign w:val="bottom"/>
          </w:tcPr>
          <w:p>
            <w:pPr>
              <w:spacing w:after="0"/>
              <w:rPr>
                <w:sz w:val="1"/>
                <w:szCs w:val="1"/>
                <w:color w:val="auto"/>
              </w:rPr>
            </w:pPr>
          </w:p>
        </w:tc>
      </w:tr>
      <w:tr>
        <w:trPr>
          <w:trHeight w:val="255"/>
        </w:trPr>
        <w:tc>
          <w:tcPr>
            <w:tcW w:w="1740" w:type="dxa"/>
            <w:vAlign w:val="bottom"/>
            <w:shd w:val="clear" w:color="auto" w:fill="CCEEFF"/>
          </w:tcPr>
          <w:p>
            <w:pPr>
              <w:spacing w:after="0"/>
              <w:rPr>
                <w:sz w:val="22"/>
                <w:szCs w:val="22"/>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Restricted Stock </w:t>
            </w:r>
            <w:r>
              <w:rPr>
                <w:rFonts w:ascii="Times New Roman" w:cs="Times New Roman" w:eastAsia="Times New Roman" w:hAnsi="Times New Roman"/>
                <w:sz w:val="17"/>
                <w:szCs w:val="17"/>
                <w:color w:val="auto"/>
                <w:vertAlign w:val="superscript"/>
              </w:rPr>
              <w:t>(2)</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84,033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 xml:space="preserve">2,000,000 </w:t>
            </w:r>
            <w:r>
              <w:rPr>
                <w:rFonts w:ascii="Times New Roman" w:cs="Times New Roman" w:eastAsia="Times New Roman" w:hAnsi="Times New Roman"/>
                <w:sz w:val="17"/>
                <w:szCs w:val="17"/>
                <w:color w:val="auto"/>
                <w:w w:val="93"/>
                <w:vertAlign w:val="superscript"/>
              </w:rPr>
              <w:t>(5)</w:t>
            </w: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Restricted Stock </w:t>
            </w:r>
            <w:r>
              <w:rPr>
                <w:rFonts w:ascii="Times New Roman" w:cs="Times New Roman" w:eastAsia="Times New Roman" w:hAnsi="Times New Roman"/>
                <w:sz w:val="17"/>
                <w:szCs w:val="17"/>
                <w:color w:val="auto"/>
                <w:vertAlign w:val="superscript"/>
              </w:rPr>
              <w:t>(3)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29,411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700,000</w:t>
            </w: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PSUs </w:t>
            </w:r>
            <w:r>
              <w:rPr>
                <w:rFonts w:ascii="Times New Roman" w:cs="Times New Roman" w:eastAsia="Times New Roman" w:hAnsi="Times New Roman"/>
                <w:sz w:val="17"/>
                <w:szCs w:val="17"/>
                <w:color w:val="auto"/>
                <w:vertAlign w:val="superscript"/>
              </w:rPr>
              <w:t>(4)</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96"/>
              </w:rPr>
              <w:t>126,050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252,100</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378,150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 xml:space="preserve">3,000,000 </w:t>
            </w:r>
            <w:r>
              <w:rPr>
                <w:rFonts w:ascii="Times New Roman" w:cs="Times New Roman" w:eastAsia="Times New Roman" w:hAnsi="Times New Roman"/>
                <w:sz w:val="17"/>
                <w:szCs w:val="17"/>
                <w:color w:val="auto"/>
                <w:w w:val="93"/>
                <w:vertAlign w:val="superscript"/>
              </w:rPr>
              <w:t>(6)</w:t>
            </w:r>
          </w:p>
        </w:tc>
        <w:tc>
          <w:tcPr>
            <w:tcW w:w="0" w:type="dxa"/>
            <w:vAlign w:val="bottom"/>
          </w:tcPr>
          <w:p>
            <w:pPr>
              <w:spacing w:after="0"/>
              <w:rPr>
                <w:sz w:val="1"/>
                <w:szCs w:val="1"/>
                <w:color w:val="auto"/>
              </w:rPr>
            </w:pPr>
          </w:p>
        </w:tc>
      </w:tr>
      <w:tr>
        <w:trPr>
          <w:trHeight w:val="184"/>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David T. Doherty</w:t>
            </w: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Incentive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167,500</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670,000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1,340,000</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55"/>
        </w:trPr>
        <w:tc>
          <w:tcPr>
            <w:tcW w:w="1740" w:type="dxa"/>
            <w:vAlign w:val="bottom"/>
          </w:tcPr>
          <w:p>
            <w:pPr>
              <w:spacing w:after="0"/>
              <w:rPr>
                <w:sz w:val="22"/>
                <w:szCs w:val="22"/>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Restricted Stock </w:t>
            </w:r>
            <w:r>
              <w:rPr>
                <w:rFonts w:ascii="Times New Roman" w:cs="Times New Roman" w:eastAsia="Times New Roman" w:hAnsi="Times New Roman"/>
                <w:sz w:val="17"/>
                <w:szCs w:val="17"/>
                <w:color w:val="auto"/>
                <w:vertAlign w:val="superscript"/>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33,613</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 xml:space="preserve">800,000 </w:t>
            </w:r>
            <w:r>
              <w:rPr>
                <w:rFonts w:ascii="Times New Roman" w:cs="Times New Roman" w:eastAsia="Times New Roman" w:hAnsi="Times New Roman"/>
                <w:sz w:val="17"/>
                <w:szCs w:val="17"/>
                <w:color w:val="auto"/>
                <w:w w:val="93"/>
                <w:vertAlign w:val="superscript"/>
              </w:rPr>
              <w:t>(5)</w:t>
            </w:r>
          </w:p>
        </w:tc>
        <w:tc>
          <w:tcPr>
            <w:tcW w:w="0" w:type="dxa"/>
            <w:vAlign w:val="bottom"/>
          </w:tcPr>
          <w:p>
            <w:pPr>
              <w:spacing w:after="0"/>
              <w:rPr>
                <w:sz w:val="1"/>
                <w:szCs w:val="1"/>
                <w:color w:val="auto"/>
              </w:rPr>
            </w:pPr>
          </w:p>
        </w:tc>
      </w:tr>
      <w:tr>
        <w:trPr>
          <w:trHeight w:val="219"/>
        </w:trPr>
        <w:tc>
          <w:tcPr>
            <w:tcW w:w="1740" w:type="dxa"/>
            <w:vAlign w:val="bottom"/>
          </w:tcPr>
          <w:p>
            <w:pPr>
              <w:spacing w:after="0"/>
              <w:rPr>
                <w:sz w:val="19"/>
                <w:szCs w:val="19"/>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Restricted Stock </w:t>
            </w:r>
            <w:r>
              <w:rPr>
                <w:rFonts w:ascii="Times New Roman" w:cs="Times New Roman" w:eastAsia="Times New Roman" w:hAnsi="Times New Roman"/>
                <w:sz w:val="17"/>
                <w:szCs w:val="17"/>
                <w:color w:val="auto"/>
                <w:vertAlign w:val="superscript"/>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15,126</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360,000</w:t>
            </w:r>
          </w:p>
        </w:tc>
        <w:tc>
          <w:tcPr>
            <w:tcW w:w="0" w:type="dxa"/>
            <w:vAlign w:val="bottom"/>
          </w:tcPr>
          <w:p>
            <w:pPr>
              <w:spacing w:after="0"/>
              <w:rPr>
                <w:sz w:val="1"/>
                <w:szCs w:val="1"/>
                <w:color w:val="auto"/>
              </w:rPr>
            </w:pPr>
          </w:p>
        </w:tc>
      </w:tr>
      <w:tr>
        <w:trPr>
          <w:trHeight w:val="219"/>
        </w:trPr>
        <w:tc>
          <w:tcPr>
            <w:tcW w:w="1740" w:type="dxa"/>
            <w:vAlign w:val="bottom"/>
          </w:tcPr>
          <w:p>
            <w:pPr>
              <w:spacing w:after="0"/>
              <w:rPr>
                <w:sz w:val="19"/>
                <w:szCs w:val="19"/>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PSUs </w:t>
            </w:r>
            <w:r>
              <w:rPr>
                <w:rFonts w:ascii="Times New Roman" w:cs="Times New Roman" w:eastAsia="Times New Roman" w:hAnsi="Times New Roman"/>
                <w:sz w:val="17"/>
                <w:szCs w:val="17"/>
                <w:color w:val="auto"/>
                <w:vertAlign w:val="superscript"/>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50,420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100,840</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151,260</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 xml:space="preserve">1,200,000 </w:t>
            </w:r>
            <w:r>
              <w:rPr>
                <w:rFonts w:ascii="Times New Roman" w:cs="Times New Roman" w:eastAsia="Times New Roman" w:hAnsi="Times New Roman"/>
                <w:sz w:val="17"/>
                <w:szCs w:val="17"/>
                <w:color w:val="auto"/>
                <w:w w:val="93"/>
                <w:vertAlign w:val="superscript"/>
              </w:rPr>
              <w:t>(6)</w:t>
            </w:r>
          </w:p>
        </w:tc>
        <w:tc>
          <w:tcPr>
            <w:tcW w:w="0" w:type="dxa"/>
            <w:vAlign w:val="bottom"/>
          </w:tcPr>
          <w:p>
            <w:pPr>
              <w:spacing w:after="0"/>
              <w:rPr>
                <w:sz w:val="1"/>
                <w:szCs w:val="1"/>
                <w:color w:val="auto"/>
              </w:rPr>
            </w:pPr>
          </w:p>
        </w:tc>
      </w:tr>
      <w:tr>
        <w:trPr>
          <w:trHeight w:val="184"/>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Jennifer B. Baldock</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Incentive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154,500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618,000</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1,236,000</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55"/>
        </w:trPr>
        <w:tc>
          <w:tcPr>
            <w:tcW w:w="1740" w:type="dxa"/>
            <w:vAlign w:val="bottom"/>
            <w:shd w:val="clear" w:color="auto" w:fill="CCEEFF"/>
          </w:tcPr>
          <w:p>
            <w:pPr>
              <w:spacing w:after="0"/>
              <w:rPr>
                <w:sz w:val="22"/>
                <w:szCs w:val="22"/>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Restricted Stock </w:t>
            </w:r>
            <w:r>
              <w:rPr>
                <w:rFonts w:ascii="Times New Roman" w:cs="Times New Roman" w:eastAsia="Times New Roman" w:hAnsi="Times New Roman"/>
                <w:sz w:val="17"/>
                <w:szCs w:val="17"/>
                <w:color w:val="auto"/>
                <w:vertAlign w:val="superscript"/>
              </w:rPr>
              <w:t>(2)</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25,210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 xml:space="preserve">600,000 </w:t>
            </w:r>
            <w:r>
              <w:rPr>
                <w:rFonts w:ascii="Times New Roman" w:cs="Times New Roman" w:eastAsia="Times New Roman" w:hAnsi="Times New Roman"/>
                <w:sz w:val="17"/>
                <w:szCs w:val="17"/>
                <w:color w:val="auto"/>
                <w:w w:val="93"/>
                <w:vertAlign w:val="superscript"/>
              </w:rPr>
              <w:t>(5)</w:t>
            </w: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Restricted Stock </w:t>
            </w:r>
            <w:r>
              <w:rPr>
                <w:rFonts w:ascii="Times New Roman" w:cs="Times New Roman" w:eastAsia="Times New Roman" w:hAnsi="Times New Roman"/>
                <w:sz w:val="17"/>
                <w:szCs w:val="17"/>
                <w:color w:val="auto"/>
                <w:vertAlign w:val="superscript"/>
              </w:rPr>
              <w:t>(3)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14,285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340,000</w:t>
            </w: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PSUs </w:t>
            </w:r>
            <w:r>
              <w:rPr>
                <w:rFonts w:ascii="Times New Roman" w:cs="Times New Roman" w:eastAsia="Times New Roman" w:hAnsi="Times New Roman"/>
                <w:sz w:val="17"/>
                <w:szCs w:val="17"/>
                <w:color w:val="auto"/>
                <w:vertAlign w:val="superscript"/>
              </w:rPr>
              <w:t>(4)</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37,815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75,630</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113,445</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 xml:space="preserve">900,000 </w:t>
            </w:r>
            <w:r>
              <w:rPr>
                <w:rFonts w:ascii="Times New Roman" w:cs="Times New Roman" w:eastAsia="Times New Roman" w:hAnsi="Times New Roman"/>
                <w:sz w:val="17"/>
                <w:szCs w:val="17"/>
                <w:color w:val="auto"/>
                <w:w w:val="93"/>
                <w:vertAlign w:val="superscript"/>
              </w:rPr>
              <w:t>(6)</w:t>
            </w:r>
          </w:p>
        </w:tc>
        <w:tc>
          <w:tcPr>
            <w:tcW w:w="0" w:type="dxa"/>
            <w:vAlign w:val="bottom"/>
          </w:tcPr>
          <w:p>
            <w:pPr>
              <w:spacing w:after="0"/>
              <w:rPr>
                <w:sz w:val="1"/>
                <w:szCs w:val="1"/>
                <w:color w:val="auto"/>
              </w:rPr>
            </w:pPr>
          </w:p>
        </w:tc>
      </w:tr>
      <w:tr>
        <w:trPr>
          <w:trHeight w:val="184"/>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Marissa A. Brittenham</w:t>
            </w: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Incentive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90,125</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360,500</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721,000</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55"/>
        </w:trPr>
        <w:tc>
          <w:tcPr>
            <w:tcW w:w="1740" w:type="dxa"/>
            <w:vAlign w:val="bottom"/>
          </w:tcPr>
          <w:p>
            <w:pPr>
              <w:spacing w:after="0"/>
              <w:rPr>
                <w:sz w:val="22"/>
                <w:szCs w:val="22"/>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Restricted Stock </w:t>
            </w:r>
            <w:r>
              <w:rPr>
                <w:rFonts w:ascii="Times New Roman" w:cs="Times New Roman" w:eastAsia="Times New Roman" w:hAnsi="Times New Roman"/>
                <w:sz w:val="17"/>
                <w:szCs w:val="17"/>
                <w:color w:val="auto"/>
                <w:vertAlign w:val="superscript"/>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10,084</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 xml:space="preserve">240,000 </w:t>
            </w:r>
            <w:r>
              <w:rPr>
                <w:rFonts w:ascii="Times New Roman" w:cs="Times New Roman" w:eastAsia="Times New Roman" w:hAnsi="Times New Roman"/>
                <w:sz w:val="17"/>
                <w:szCs w:val="17"/>
                <w:color w:val="auto"/>
                <w:w w:val="93"/>
                <w:vertAlign w:val="superscript"/>
              </w:rPr>
              <w:t>(5)</w:t>
            </w:r>
          </w:p>
        </w:tc>
        <w:tc>
          <w:tcPr>
            <w:tcW w:w="0" w:type="dxa"/>
            <w:vAlign w:val="bottom"/>
          </w:tcPr>
          <w:p>
            <w:pPr>
              <w:spacing w:after="0"/>
              <w:rPr>
                <w:sz w:val="1"/>
                <w:szCs w:val="1"/>
                <w:color w:val="auto"/>
              </w:rPr>
            </w:pPr>
          </w:p>
        </w:tc>
      </w:tr>
      <w:tr>
        <w:trPr>
          <w:trHeight w:val="219"/>
        </w:trPr>
        <w:tc>
          <w:tcPr>
            <w:tcW w:w="1740" w:type="dxa"/>
            <w:vAlign w:val="bottom"/>
          </w:tcPr>
          <w:p>
            <w:pPr>
              <w:spacing w:after="0"/>
              <w:rPr>
                <w:sz w:val="19"/>
                <w:szCs w:val="19"/>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Restricted Stock </w:t>
            </w:r>
            <w:r>
              <w:rPr>
                <w:rFonts w:ascii="Times New Roman" w:cs="Times New Roman" w:eastAsia="Times New Roman" w:hAnsi="Times New Roman"/>
                <w:sz w:val="17"/>
                <w:szCs w:val="17"/>
                <w:color w:val="auto"/>
                <w:vertAlign w:val="superscript"/>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6,302</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150,000</w:t>
            </w:r>
          </w:p>
        </w:tc>
        <w:tc>
          <w:tcPr>
            <w:tcW w:w="0" w:type="dxa"/>
            <w:vAlign w:val="bottom"/>
          </w:tcPr>
          <w:p>
            <w:pPr>
              <w:spacing w:after="0"/>
              <w:rPr>
                <w:sz w:val="1"/>
                <w:szCs w:val="1"/>
                <w:color w:val="auto"/>
              </w:rPr>
            </w:pPr>
          </w:p>
        </w:tc>
      </w:tr>
      <w:tr>
        <w:trPr>
          <w:trHeight w:val="219"/>
        </w:trPr>
        <w:tc>
          <w:tcPr>
            <w:tcW w:w="1740" w:type="dxa"/>
            <w:vAlign w:val="bottom"/>
          </w:tcPr>
          <w:p>
            <w:pPr>
              <w:spacing w:after="0"/>
              <w:rPr>
                <w:sz w:val="19"/>
                <w:szCs w:val="19"/>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PSUs </w:t>
            </w:r>
            <w:r>
              <w:rPr>
                <w:rFonts w:ascii="Times New Roman" w:cs="Times New Roman" w:eastAsia="Times New Roman" w:hAnsi="Times New Roman"/>
                <w:sz w:val="17"/>
                <w:szCs w:val="17"/>
                <w:color w:val="auto"/>
                <w:vertAlign w:val="superscript"/>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15,126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30,252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45,378</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 xml:space="preserve">360,000 </w:t>
            </w:r>
            <w:r>
              <w:rPr>
                <w:rFonts w:ascii="Times New Roman" w:cs="Times New Roman" w:eastAsia="Times New Roman" w:hAnsi="Times New Roman"/>
                <w:sz w:val="17"/>
                <w:szCs w:val="17"/>
                <w:color w:val="auto"/>
                <w:w w:val="93"/>
                <w:vertAlign w:val="superscript"/>
              </w:rPr>
              <w:t>(6)</w:t>
            </w:r>
          </w:p>
        </w:tc>
        <w:tc>
          <w:tcPr>
            <w:tcW w:w="0" w:type="dxa"/>
            <w:vAlign w:val="bottom"/>
          </w:tcPr>
          <w:p>
            <w:pPr>
              <w:spacing w:after="0"/>
              <w:rPr>
                <w:sz w:val="1"/>
                <w:szCs w:val="1"/>
                <w:color w:val="auto"/>
              </w:rPr>
            </w:pPr>
          </w:p>
        </w:tc>
      </w:tr>
      <w:tr>
        <w:trPr>
          <w:trHeight w:val="184"/>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 Trent Webb</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Incentive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78,750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315,000</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630,000</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55"/>
        </w:trPr>
        <w:tc>
          <w:tcPr>
            <w:tcW w:w="1740" w:type="dxa"/>
            <w:vAlign w:val="bottom"/>
            <w:shd w:val="clear" w:color="auto" w:fill="CCEEFF"/>
          </w:tcPr>
          <w:p>
            <w:pPr>
              <w:spacing w:after="0"/>
              <w:rPr>
                <w:sz w:val="22"/>
                <w:szCs w:val="22"/>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Restricted Stock </w:t>
            </w:r>
            <w:r>
              <w:rPr>
                <w:rFonts w:ascii="Times New Roman" w:cs="Times New Roman" w:eastAsia="Times New Roman" w:hAnsi="Times New Roman"/>
                <w:sz w:val="17"/>
                <w:szCs w:val="17"/>
                <w:color w:val="auto"/>
                <w:vertAlign w:val="superscript"/>
              </w:rPr>
              <w:t>(2)</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12,605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 xml:space="preserve">300,000 </w:t>
            </w:r>
            <w:r>
              <w:rPr>
                <w:rFonts w:ascii="Times New Roman" w:cs="Times New Roman" w:eastAsia="Times New Roman" w:hAnsi="Times New Roman"/>
                <w:sz w:val="17"/>
                <w:szCs w:val="17"/>
                <w:color w:val="auto"/>
                <w:w w:val="93"/>
                <w:vertAlign w:val="superscript"/>
              </w:rPr>
              <w:t>(5)</w:t>
            </w: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Restricted Stock </w:t>
            </w:r>
            <w:r>
              <w:rPr>
                <w:rFonts w:ascii="Times New Roman" w:cs="Times New Roman" w:eastAsia="Times New Roman" w:hAnsi="Times New Roman"/>
                <w:sz w:val="17"/>
                <w:szCs w:val="17"/>
                <w:color w:val="auto"/>
                <w:vertAlign w:val="superscript"/>
              </w:rPr>
              <w:t>(3)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3,781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90,000</w:t>
            </w: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PSUs </w:t>
            </w:r>
            <w:r>
              <w:rPr>
                <w:rFonts w:ascii="Times New Roman" w:cs="Times New Roman" w:eastAsia="Times New Roman" w:hAnsi="Times New Roman"/>
                <w:sz w:val="17"/>
                <w:szCs w:val="17"/>
                <w:color w:val="auto"/>
                <w:vertAlign w:val="superscript"/>
              </w:rPr>
              <w:t>(4)</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18,907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37,814</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56,721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450,000</w:t>
            </w:r>
            <w:r>
              <w:rPr>
                <w:rFonts w:ascii="Times New Roman" w:cs="Times New Roman" w:eastAsia="Times New Roman" w:hAnsi="Times New Roman"/>
                <w:sz w:val="17"/>
                <w:szCs w:val="17"/>
                <w:color w:val="auto"/>
                <w:w w:val="95"/>
                <w:vertAlign w:val="superscript"/>
              </w:rPr>
              <w:t>(6)</w:t>
            </w:r>
          </w:p>
        </w:tc>
        <w:tc>
          <w:tcPr>
            <w:tcW w:w="0" w:type="dxa"/>
            <w:vAlign w:val="bottom"/>
          </w:tcPr>
          <w:p>
            <w:pPr>
              <w:spacing w:after="0"/>
              <w:rPr>
                <w:sz w:val="1"/>
                <w:szCs w:val="1"/>
                <w:color w:val="auto"/>
              </w:rPr>
            </w:pPr>
          </w:p>
        </w:tc>
      </w:tr>
      <w:tr>
        <w:trPr>
          <w:trHeight w:val="184"/>
        </w:trPr>
        <w:tc>
          <w:tcPr>
            <w:tcW w:w="1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Harrison R. Bane</w:t>
            </w: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Incentive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105,000</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420,000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840,000</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55"/>
        </w:trPr>
        <w:tc>
          <w:tcPr>
            <w:tcW w:w="1740" w:type="dxa"/>
            <w:vAlign w:val="bottom"/>
          </w:tcPr>
          <w:p>
            <w:pPr>
              <w:spacing w:after="0"/>
              <w:rPr>
                <w:sz w:val="22"/>
                <w:szCs w:val="22"/>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Restricted Stock </w:t>
            </w:r>
            <w:r>
              <w:rPr>
                <w:rFonts w:ascii="Times New Roman" w:cs="Times New Roman" w:eastAsia="Times New Roman" w:hAnsi="Times New Roman"/>
                <w:sz w:val="17"/>
                <w:szCs w:val="17"/>
                <w:color w:val="auto"/>
                <w:vertAlign w:val="superscript"/>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17,226</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 xml:space="preserve">410,000 </w:t>
            </w:r>
            <w:r>
              <w:rPr>
                <w:rFonts w:ascii="Times New Roman" w:cs="Times New Roman" w:eastAsia="Times New Roman" w:hAnsi="Times New Roman"/>
                <w:sz w:val="17"/>
                <w:szCs w:val="17"/>
                <w:color w:val="auto"/>
                <w:w w:val="93"/>
                <w:vertAlign w:val="superscript"/>
              </w:rPr>
              <w:t>(5)</w:t>
            </w:r>
          </w:p>
        </w:tc>
        <w:tc>
          <w:tcPr>
            <w:tcW w:w="0" w:type="dxa"/>
            <w:vAlign w:val="bottom"/>
          </w:tcPr>
          <w:p>
            <w:pPr>
              <w:spacing w:after="0"/>
              <w:rPr>
                <w:sz w:val="1"/>
                <w:szCs w:val="1"/>
                <w:color w:val="auto"/>
              </w:rPr>
            </w:pPr>
          </w:p>
        </w:tc>
      </w:tr>
      <w:tr>
        <w:trPr>
          <w:trHeight w:val="219"/>
        </w:trPr>
        <w:tc>
          <w:tcPr>
            <w:tcW w:w="1740" w:type="dxa"/>
            <w:vAlign w:val="bottom"/>
          </w:tcPr>
          <w:p>
            <w:pPr>
              <w:spacing w:after="0"/>
              <w:rPr>
                <w:sz w:val="19"/>
                <w:szCs w:val="19"/>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Restricted Stock </w:t>
            </w:r>
            <w:r>
              <w:rPr>
                <w:rFonts w:ascii="Times New Roman" w:cs="Times New Roman" w:eastAsia="Times New Roman" w:hAnsi="Times New Roman"/>
                <w:sz w:val="17"/>
                <w:szCs w:val="17"/>
                <w:color w:val="auto"/>
                <w:vertAlign w:val="superscript"/>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6,302</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150,000</w:t>
            </w:r>
          </w:p>
        </w:tc>
        <w:tc>
          <w:tcPr>
            <w:tcW w:w="0" w:type="dxa"/>
            <w:vAlign w:val="bottom"/>
          </w:tcPr>
          <w:p>
            <w:pPr>
              <w:spacing w:after="0"/>
              <w:rPr>
                <w:sz w:val="1"/>
                <w:szCs w:val="1"/>
                <w:color w:val="auto"/>
              </w:rPr>
            </w:pPr>
          </w:p>
        </w:tc>
      </w:tr>
      <w:tr>
        <w:trPr>
          <w:trHeight w:val="235"/>
        </w:trPr>
        <w:tc>
          <w:tcPr>
            <w:tcW w:w="1740" w:type="dxa"/>
            <w:vAlign w:val="bottom"/>
          </w:tcPr>
          <w:p>
            <w:pPr>
              <w:spacing w:after="0"/>
              <w:rPr>
                <w:sz w:val="20"/>
                <w:szCs w:val="20"/>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PSUs </w:t>
            </w:r>
            <w:r>
              <w:rPr>
                <w:rFonts w:ascii="Times New Roman" w:cs="Times New Roman" w:eastAsia="Times New Roman" w:hAnsi="Times New Roman"/>
                <w:sz w:val="17"/>
                <w:szCs w:val="17"/>
                <w:color w:val="auto"/>
                <w:vertAlign w:val="superscript"/>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3/4/25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25,840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51,680</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77,520</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 xml:space="preserve">615,000 </w:t>
            </w:r>
            <w:r>
              <w:rPr>
                <w:rFonts w:ascii="Times New Roman" w:cs="Times New Roman" w:eastAsia="Times New Roman" w:hAnsi="Times New Roman"/>
                <w:sz w:val="17"/>
                <w:szCs w:val="17"/>
                <w:color w:val="auto"/>
                <w:w w:val="93"/>
                <w:vertAlign w:val="superscript"/>
              </w:rPr>
              <w:t>(6)</w:t>
            </w:r>
          </w:p>
        </w:tc>
        <w:tc>
          <w:tcPr>
            <w:tcW w:w="0" w:type="dxa"/>
            <w:vAlign w:val="bottom"/>
          </w:tcPr>
          <w:p>
            <w:pPr>
              <w:spacing w:after="0"/>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w:t>
      </w:r>
    </w:p>
    <w:p>
      <w:pPr>
        <w:spacing w:after="0" w:line="165" w:lineRule="exact"/>
        <w:rPr>
          <w:sz w:val="20"/>
          <w:szCs w:val="20"/>
          <w:color w:val="auto"/>
        </w:rPr>
      </w:pPr>
    </w:p>
    <w:p>
      <w:pPr>
        <w:ind w:left="320" w:right="140" w:hanging="317"/>
        <w:spacing w:after="0" w:line="254" w:lineRule="auto"/>
        <w:tabs>
          <w:tab w:leader="none" w:pos="31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annual cash incentive opportunities granted under our Cash Incentive Plan. Each NEO was eligible to receive a target annual bonus that is equal to a percentage of his or her annual base salary. For 2025, the target bonus opportunity as a percentage of base salary for each of our NEOs was as follows: Mr. Evans - 120%, Mr. Doherty - 100%, Ms. Baldock - 100%, Ms. Brittenham - 70%, Mr. Webb - 60% and Mr. Bane - 70%. See "Compensation Discussion and Analysis - Elements of Named Executive Officer Compensation - Short-Term Incentive Awards" for additional information.</w:t>
      </w:r>
    </w:p>
    <w:p>
      <w:pPr>
        <w:spacing w:after="0" w:line="10" w:lineRule="exact"/>
        <w:rPr>
          <w:rFonts w:ascii="Times New Roman" w:cs="Times New Roman" w:eastAsia="Times New Roman" w:hAnsi="Times New Roman"/>
          <w:sz w:val="17"/>
          <w:szCs w:val="17"/>
          <w:color w:val="auto"/>
        </w:rPr>
      </w:pPr>
    </w:p>
    <w:p>
      <w:pPr>
        <w:ind w:left="320" w:right="200" w:hanging="317"/>
        <w:spacing w:after="0" w:line="254" w:lineRule="auto"/>
        <w:tabs>
          <w:tab w:leader="none" w:pos="31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restricted stock awards to our NEOs under our equity incentive plan, as described in "Compensation Discussion and Analysis - Elements of Named Executive Officer Compensation - Long-Term Incentive Awards - 2025 Annual Awards" above. Each restricted stock award will vest as to one-third of the award on each of the first, second and third anniversaries of the date of grant, generally contingent upon continued employment through each such vesting date (except as expressly provided in the award agreement evidencing the grant of such restricted stock award).</w:t>
      </w:r>
    </w:p>
    <w:p>
      <w:pPr>
        <w:spacing w:after="0" w:line="23" w:lineRule="exact"/>
        <w:rPr>
          <w:rFonts w:ascii="Times New Roman" w:cs="Times New Roman" w:eastAsia="Times New Roman" w:hAnsi="Times New Roman"/>
          <w:sz w:val="17"/>
          <w:szCs w:val="17"/>
          <w:color w:val="auto"/>
        </w:rPr>
      </w:pPr>
    </w:p>
    <w:p>
      <w:pPr>
        <w:ind w:left="320" w:right="180" w:hanging="317"/>
        <w:spacing w:after="0" w:line="249" w:lineRule="auto"/>
        <w:tabs>
          <w:tab w:leader="none" w:pos="31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awards of time-based restricted stock granted in lieu of making the full cash incentive payment earned by each of the NEOs in 2024 under the Cash Incentive Plan. The number of shares issued was based on the price of our common stock on the date of grant. The value of these awards is included in the 2024 “Stock Awards” column in the Summary Compensation Table. Each restricted stock award will vest in full on the first anniversary of the date of grant, generally contingent upon continued employment through each such vesting date (except as expressly provided in the award agreement evidencing the grant of such restricted stock award).</w:t>
      </w:r>
    </w:p>
    <w:p>
      <w:pPr>
        <w:spacing w:after="0" w:line="17" w:lineRule="exact"/>
        <w:rPr>
          <w:rFonts w:ascii="Times New Roman" w:cs="Times New Roman" w:eastAsia="Times New Roman" w:hAnsi="Times New Roman"/>
          <w:sz w:val="17"/>
          <w:szCs w:val="17"/>
          <w:color w:val="auto"/>
        </w:rPr>
      </w:pPr>
    </w:p>
    <w:p>
      <w:pPr>
        <w:ind w:left="320" w:hanging="317"/>
        <w:spacing w:after="0" w:line="254" w:lineRule="auto"/>
        <w:tabs>
          <w:tab w:leader="none" w:pos="31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threshold, target and maximum future payouts under the PSUs granted to our NEOs under our equity incentive plan. PSUs provide our NEOs with the opportunity to earn a specified number of shares of common stock subject to a cliff vesting based on achievement of certain Company performance objectives over a three-year period, thereby creating a three-year incentive and alignment period. For a description of the PSU vesting terms, see "Compensation Discussion and Analysis - Elements of Named Executive Officer Compensation - Long-Term Incentive Awards - 2025 Annual Awards."</w:t>
      </w:r>
    </w:p>
    <w:p>
      <w:pPr>
        <w:spacing w:after="0" w:line="23" w:lineRule="exact"/>
        <w:rPr>
          <w:rFonts w:ascii="Times New Roman" w:cs="Times New Roman" w:eastAsia="Times New Roman" w:hAnsi="Times New Roman"/>
          <w:sz w:val="17"/>
          <w:szCs w:val="17"/>
          <w:color w:val="auto"/>
        </w:rPr>
      </w:pPr>
    </w:p>
    <w:p>
      <w:pPr>
        <w:ind w:left="320" w:right="120" w:hanging="317"/>
        <w:spacing w:after="0" w:line="271" w:lineRule="auto"/>
        <w:tabs>
          <w:tab w:leader="none" w:pos="31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aggregate grant date fair value of time-based restricted stock awards granted to our NEOs in 2025, as determined in accordance with FASB ASC Topic 718. These amounts do not reflect the actual amounts that may be paid or realized by our</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left="320" w:right="260"/>
        <w:spacing w:after="0" w:line="271" w:lineRule="auto"/>
        <w:rPr>
          <w:sz w:val="20"/>
          <w:szCs w:val="20"/>
          <w:color w:val="auto"/>
        </w:rPr>
      </w:pPr>
      <w:r>
        <w:rPr>
          <w:rFonts w:ascii="Times New Roman" w:cs="Times New Roman" w:eastAsia="Times New Roman" w:hAnsi="Times New Roman"/>
          <w:sz w:val="17"/>
          <w:szCs w:val="17"/>
          <w:color w:val="auto"/>
        </w:rPr>
        <w:t>NEOs and exclude the effect of estimated forfeitures. The aggregate grant date fair value of the time-based restricted stock awards was calculated using the closing price of a share of the Company's common stock on the date of grant.</w:t>
      </w:r>
    </w:p>
    <w:p>
      <w:pPr>
        <w:spacing w:after="0" w:line="10" w:lineRule="exact"/>
        <w:rPr>
          <w:sz w:val="20"/>
          <w:szCs w:val="20"/>
          <w:color w:val="auto"/>
        </w:rPr>
      </w:pPr>
    </w:p>
    <w:p>
      <w:pPr>
        <w:ind w:left="320" w:right="60" w:hanging="317"/>
        <w:spacing w:after="0" w:line="254" w:lineRule="auto"/>
        <w:tabs>
          <w:tab w:leader="none" w:pos="31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aggregate grant date fair value of PSUs granted to NEOs in 2025, as determined in accordance with FASB ASC Topic 718. These amounts do not reflect the actual amounts that may be paid or realized by our NEOs and exclude the effect of estimated forfeitures. The aggregate grant date fair value of the PSUs was determined based on the probable outcome of the applicable performance conditions associated with such award. The award was valued using the closing price of a share of the Company's common stock on the date of grant.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Narrative Disclosure to Summary Compensation Table and 2025 Grants of Plan-Based Awards Table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have entered into employment agreements with each of our NEOs. A summary of certain terms follows:</w:t>
      </w:r>
    </w:p>
    <w:p>
      <w:pPr>
        <w:spacing w:after="0" w:line="226" w:lineRule="exact"/>
        <w:rPr>
          <w:sz w:val="20"/>
          <w:szCs w:val="20"/>
          <w:color w:val="auto"/>
        </w:rPr>
      </w:pPr>
    </w:p>
    <w:p>
      <w:pPr>
        <w:ind w:right="20" w:firstLine="309"/>
        <w:spacing w:after="0" w:line="255" w:lineRule="auto"/>
        <w:rPr>
          <w:sz w:val="20"/>
          <w:szCs w:val="20"/>
          <w:color w:val="auto"/>
        </w:rPr>
      </w:pPr>
      <w:r>
        <w:rPr>
          <w:rFonts w:ascii="Times New Roman" w:cs="Times New Roman" w:eastAsia="Times New Roman" w:hAnsi="Times New Roman"/>
          <w:sz w:val="17"/>
          <w:szCs w:val="17"/>
          <w:i w:val="1"/>
          <w:iCs w:val="1"/>
          <w:color w:val="auto"/>
        </w:rPr>
        <w:t>J. Eric Evans</w:t>
      </w:r>
      <w:r>
        <w:rPr>
          <w:rFonts w:ascii="Times New Roman" w:cs="Times New Roman" w:eastAsia="Times New Roman" w:hAnsi="Times New Roman"/>
          <w:sz w:val="17"/>
          <w:szCs w:val="17"/>
          <w:color w:val="auto"/>
        </w:rPr>
        <w:t>. Pursuant to Mr. Evans' employment agreement, as amended, an annual base salary and target bonus opportunity was established, each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adjustment at the discretion of our Compensation Committee. For information regarding Mr. Evans' base salary and bonus eligibility in 2025, please see "Compensation Discussion and Analysis." Mr. Evans is eligible to participate in our employee benefit plans, as may be in effect from time to time. Mr. Evans is entitled to benefits upon certain terminations of employment, as described in "Executive Compensation - Potential Payments upon Termination or Change in Control" below.</w:t>
      </w:r>
    </w:p>
    <w:p>
      <w:pPr>
        <w:spacing w:after="0" w:line="186" w:lineRule="exact"/>
        <w:rPr>
          <w:sz w:val="20"/>
          <w:szCs w:val="20"/>
          <w:color w:val="auto"/>
        </w:rPr>
      </w:pPr>
    </w:p>
    <w:p>
      <w:pPr>
        <w:ind w:firstLine="309"/>
        <w:spacing w:after="0" w:line="251" w:lineRule="auto"/>
        <w:rPr>
          <w:sz w:val="20"/>
          <w:szCs w:val="20"/>
          <w:color w:val="auto"/>
        </w:rPr>
      </w:pPr>
      <w:r>
        <w:rPr>
          <w:rFonts w:ascii="Times New Roman" w:cs="Times New Roman" w:eastAsia="Times New Roman" w:hAnsi="Times New Roman"/>
          <w:sz w:val="17"/>
          <w:szCs w:val="17"/>
          <w:i w:val="1"/>
          <w:iCs w:val="1"/>
          <w:color w:val="auto"/>
        </w:rPr>
        <w:t>David T. Doherty</w:t>
      </w:r>
      <w:r>
        <w:rPr>
          <w:rFonts w:ascii="Times New Roman" w:cs="Times New Roman" w:eastAsia="Times New Roman" w:hAnsi="Times New Roman"/>
          <w:sz w:val="17"/>
          <w:szCs w:val="17"/>
          <w:color w:val="auto"/>
        </w:rPr>
        <w:t>. Pursuant to Mr. Doherty’s employment agreement, an annual base salary and target bonus opportunity was established, each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adjustment at the discretion of the Board or our Compensation Committee. For information regarding Mr. Doherty’s base salary and bonus eligibility in 2025, please see "Compensation Discussion and Analysis." Mr. Doherty is eligible to participate in our employee benefit plans, as may be in effect from time to time. For a description of the payments and benefits Mr. Doherty may be entitled to in connection with a termination of employment, see "- Potential Payments upon Termination or Change in Control" below.</w:t>
      </w:r>
    </w:p>
    <w:p>
      <w:pPr>
        <w:spacing w:after="0" w:line="203" w:lineRule="exact"/>
        <w:rPr>
          <w:sz w:val="20"/>
          <w:szCs w:val="20"/>
          <w:color w:val="auto"/>
        </w:rPr>
      </w:pPr>
    </w:p>
    <w:p>
      <w:pPr>
        <w:ind w:right="200" w:firstLine="309"/>
        <w:spacing w:after="0" w:line="251" w:lineRule="auto"/>
        <w:rPr>
          <w:sz w:val="20"/>
          <w:szCs w:val="20"/>
          <w:color w:val="auto"/>
        </w:rPr>
      </w:pPr>
      <w:r>
        <w:rPr>
          <w:rFonts w:ascii="Times New Roman" w:cs="Times New Roman" w:eastAsia="Times New Roman" w:hAnsi="Times New Roman"/>
          <w:sz w:val="17"/>
          <w:szCs w:val="17"/>
          <w:i w:val="1"/>
          <w:iCs w:val="1"/>
          <w:color w:val="auto"/>
        </w:rPr>
        <w:t>Jennifer B. Baldock</w:t>
      </w:r>
      <w:r>
        <w:rPr>
          <w:rFonts w:ascii="Times New Roman" w:cs="Times New Roman" w:eastAsia="Times New Roman" w:hAnsi="Times New Roman"/>
          <w:sz w:val="17"/>
          <w:szCs w:val="17"/>
          <w:color w:val="auto"/>
        </w:rPr>
        <w:t>. Pursuant to Ms. Baldock's amended and restated employment agreement, an annual base salary and target bonus opportunity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established, each subject to adjustment at the discretion of the Board or the Compensation Committee. For information regarding Ms. Baldock’s base salary and bonus eligibility in 2025, please see "Compensation Discussion and Analysis." Ms. Baldock is eligible to participate in our employee benefit plans, as may be in effect from time to time. For a description of the payments and benefits Ms. Baldock may be entitled to in connection with a termination of employment, see "-Potential Payments upon Termination or Change in Control" below.</w:t>
      </w:r>
    </w:p>
    <w:p>
      <w:pPr>
        <w:spacing w:after="0" w:line="190" w:lineRule="exact"/>
        <w:rPr>
          <w:sz w:val="20"/>
          <w:szCs w:val="20"/>
          <w:color w:val="auto"/>
        </w:rPr>
      </w:pPr>
    </w:p>
    <w:p>
      <w:pPr>
        <w:ind w:firstLine="309"/>
        <w:spacing w:after="0" w:line="255" w:lineRule="auto"/>
        <w:rPr>
          <w:sz w:val="20"/>
          <w:szCs w:val="20"/>
          <w:color w:val="auto"/>
        </w:rPr>
      </w:pPr>
      <w:r>
        <w:rPr>
          <w:rFonts w:ascii="Times New Roman" w:cs="Times New Roman" w:eastAsia="Times New Roman" w:hAnsi="Times New Roman"/>
          <w:sz w:val="17"/>
          <w:szCs w:val="17"/>
          <w:i w:val="1"/>
          <w:iCs w:val="1"/>
          <w:color w:val="auto"/>
        </w:rPr>
        <w:t>Marissa A. Brittenham</w:t>
      </w:r>
      <w:r>
        <w:rPr>
          <w:rFonts w:ascii="Times New Roman" w:cs="Times New Roman" w:eastAsia="Times New Roman" w:hAnsi="Times New Roman"/>
          <w:sz w:val="17"/>
          <w:szCs w:val="17"/>
          <w:color w:val="auto"/>
        </w:rPr>
        <w:t>. Pursuant to Ms. Brittenham's amended and restated employment agreement, an annual base salary and target bonus opportunity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established, each subject to adjustment at the discretion of the Board or the Compensation Committee. For information regarding Ms. Brittenham’s base salary and bonus eligibility in 2025, please see "Compensation Discussion and Analysis." Ms. Brittenham is eligible to participate in our employee benefit plans, as may be in effect from time to time. For a description of the payments and benefits Ms. Brittenham may be entitled to in connection with a termination of employment, see "-Potential Payments upon Termination or Change in Control" below.</w:t>
      </w:r>
    </w:p>
    <w:p>
      <w:pPr>
        <w:spacing w:after="0" w:line="186" w:lineRule="exact"/>
        <w:rPr>
          <w:sz w:val="20"/>
          <w:szCs w:val="20"/>
          <w:color w:val="auto"/>
        </w:rPr>
      </w:pPr>
    </w:p>
    <w:p>
      <w:pPr>
        <w:ind w:right="20" w:firstLine="309"/>
        <w:spacing w:after="0" w:line="251" w:lineRule="auto"/>
        <w:rPr>
          <w:sz w:val="20"/>
          <w:szCs w:val="20"/>
          <w:color w:val="auto"/>
        </w:rPr>
      </w:pPr>
      <w:r>
        <w:rPr>
          <w:rFonts w:ascii="Times New Roman" w:cs="Times New Roman" w:eastAsia="Times New Roman" w:hAnsi="Times New Roman"/>
          <w:sz w:val="17"/>
          <w:szCs w:val="17"/>
          <w:i w:val="1"/>
          <w:iCs w:val="1"/>
          <w:color w:val="auto"/>
        </w:rPr>
        <w:t>W. Trent Webb</w:t>
      </w:r>
      <w:r>
        <w:rPr>
          <w:rFonts w:ascii="Times New Roman" w:cs="Times New Roman" w:eastAsia="Times New Roman" w:hAnsi="Times New Roman"/>
          <w:sz w:val="17"/>
          <w:szCs w:val="17"/>
          <w:color w:val="auto"/>
        </w:rPr>
        <w:t>. Pursuant to Mr. Webb’s employment agreement, an annual base salary and target bonus opportunity was established, each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adjustment at the discretion of the Board or the Compensation Committee. For information regarding Mr. Webb’s base salary and bonus eligibility in 2025, please see "Compensation Discussion and Analysis." Mr. Webb is eligible to participate in our employee benefit plans, as may be in effect from time to time. For a description of the payments and benefits Mr. Webb may be entitled to in connection with a termination of employment, see "-Potential Payments upon Termination or Change in Control" below.</w:t>
      </w:r>
    </w:p>
    <w:p>
      <w:pPr>
        <w:spacing w:after="0" w:line="203" w:lineRule="exact"/>
        <w:rPr>
          <w:sz w:val="20"/>
          <w:szCs w:val="20"/>
          <w:color w:val="auto"/>
        </w:rPr>
      </w:pPr>
    </w:p>
    <w:p>
      <w:pPr>
        <w:ind w:right="60" w:firstLine="309"/>
        <w:spacing w:after="0" w:line="251" w:lineRule="auto"/>
        <w:rPr>
          <w:sz w:val="20"/>
          <w:szCs w:val="20"/>
          <w:color w:val="auto"/>
        </w:rPr>
      </w:pPr>
      <w:r>
        <w:rPr>
          <w:rFonts w:ascii="Times New Roman" w:cs="Times New Roman" w:eastAsia="Times New Roman" w:hAnsi="Times New Roman"/>
          <w:sz w:val="17"/>
          <w:szCs w:val="17"/>
          <w:i w:val="1"/>
          <w:iCs w:val="1"/>
          <w:color w:val="auto"/>
        </w:rPr>
        <w:t>Harrison R. Bane</w:t>
      </w:r>
      <w:r>
        <w:rPr>
          <w:rFonts w:ascii="Times New Roman" w:cs="Times New Roman" w:eastAsia="Times New Roman" w:hAnsi="Times New Roman"/>
          <w:sz w:val="17"/>
          <w:szCs w:val="17"/>
          <w:color w:val="auto"/>
        </w:rPr>
        <w:t>. Pursuant to Mr. Bane's employment agreement in effect prior to his resignation effective October 3, 2025, an annual base salary and target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bonus opportunity was established, each subject to adjustment at the discretion of the Board or the Compensation Committee. For information regarding Mr. Bane's base salary and bonus eligibility in 2025, please see "Compensation Discussion and Analysis." Mr. Bane was eligible to participate in our employee benefit plans, as in effect during his employment. Mr. Bane resigned as our President, National Group and his employment agreement was terminated effective October 3, 2025.</w:t>
      </w:r>
    </w:p>
    <w:p>
      <w:pPr>
        <w:spacing w:after="0" w:line="398" w:lineRule="exact"/>
        <w:rPr>
          <w:sz w:val="20"/>
          <w:szCs w:val="20"/>
          <w:color w:val="auto"/>
        </w:rPr>
      </w:pPr>
    </w:p>
    <w:p>
      <w:pPr>
        <w:ind w:right="160" w:firstLine="309"/>
        <w:spacing w:after="0" w:line="271" w:lineRule="auto"/>
        <w:rPr>
          <w:sz w:val="20"/>
          <w:szCs w:val="20"/>
          <w:color w:val="auto"/>
        </w:rPr>
      </w:pPr>
      <w:r>
        <w:rPr>
          <w:rFonts w:ascii="Times New Roman" w:cs="Times New Roman" w:eastAsia="Times New Roman" w:hAnsi="Times New Roman"/>
          <w:sz w:val="17"/>
          <w:szCs w:val="17"/>
          <w:color w:val="auto"/>
        </w:rPr>
        <w:t>In addition, each of our NEOs received equity grants under the 2025 Incentive Plan and 2015 Incentive Plan, as described in "Short-Term Incentive Awards" and "Long-Term Incentive Awards" in the "Compensation Discussion and Analysis" section above.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information regarding equity awards held by our NEOs as of December 31, 2025.</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6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Incentive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Incentive</w:t>
            </w: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Plan Awards:</w:t>
            </w: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Market or payout</w:t>
            </w:r>
          </w:p>
        </w:tc>
        <w:tc>
          <w:tcPr>
            <w:tcW w:w="0" w:type="dxa"/>
            <w:vAlign w:val="bottom"/>
          </w:tcPr>
          <w:p>
            <w:pPr>
              <w:spacing w:after="0"/>
              <w:rPr>
                <w:sz w:val="1"/>
                <w:szCs w:val="1"/>
                <w:color w:val="auto"/>
              </w:rPr>
            </w:pPr>
          </w:p>
        </w:tc>
      </w:tr>
      <w:tr>
        <w:trPr>
          <w:trHeight w:val="90"/>
        </w:trPr>
        <w:tc>
          <w:tcPr>
            <w:tcW w:w="1260" w:type="dxa"/>
            <w:vAlign w:val="bottom"/>
          </w:tcPr>
          <w:p>
            <w:pPr>
              <w:spacing w:after="0"/>
              <w:rPr>
                <w:sz w:val="7"/>
                <w:szCs w:val="7"/>
                <w:color w:val="auto"/>
              </w:rPr>
            </w:pPr>
          </w:p>
        </w:tc>
        <w:tc>
          <w:tcPr>
            <w:tcW w:w="126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13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60" w:type="dxa"/>
            <w:vAlign w:val="bottom"/>
            <w:gridSpan w:val="2"/>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12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value of unearned</w:t>
            </w:r>
          </w:p>
        </w:tc>
        <w:tc>
          <w:tcPr>
            <w:tcW w:w="0" w:type="dxa"/>
            <w:vAlign w:val="bottom"/>
          </w:tcPr>
          <w:p>
            <w:pPr>
              <w:spacing w:after="0"/>
              <w:rPr>
                <w:sz w:val="1"/>
                <w:szCs w:val="1"/>
                <w:color w:val="auto"/>
              </w:rPr>
            </w:pPr>
          </w:p>
        </w:tc>
      </w:tr>
      <w:tr>
        <w:trPr>
          <w:trHeight w:val="52"/>
        </w:trPr>
        <w:tc>
          <w:tcPr>
            <w:tcW w:w="1260" w:type="dxa"/>
            <w:vAlign w:val="bottom"/>
          </w:tcPr>
          <w:p>
            <w:pPr>
              <w:spacing w:after="0"/>
              <w:rPr>
                <w:sz w:val="4"/>
                <w:szCs w:val="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Market value of</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 shares,</w:t>
            </w: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shares, units or</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or units of stock</w:t>
            </w: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shares or units of</w:t>
            </w:r>
          </w:p>
        </w:tc>
        <w:tc>
          <w:tcPr>
            <w:tcW w:w="12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units or other</w:t>
            </w: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other rights that</w:t>
            </w:r>
          </w:p>
        </w:tc>
        <w:tc>
          <w:tcPr>
            <w:tcW w:w="0" w:type="dxa"/>
            <w:vAlign w:val="bottom"/>
          </w:tcPr>
          <w:p>
            <w:pPr>
              <w:spacing w:after="0"/>
              <w:rPr>
                <w:sz w:val="1"/>
                <w:szCs w:val="1"/>
                <w:color w:val="auto"/>
              </w:rPr>
            </w:pPr>
          </w:p>
        </w:tc>
      </w:tr>
      <w:tr>
        <w:trPr>
          <w:trHeight w:val="142"/>
        </w:trPr>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Unexercised Options</w:t>
            </w:r>
          </w:p>
        </w:tc>
        <w:tc>
          <w:tcPr>
            <w:tcW w:w="104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that have not</w:t>
            </w: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stock that have not</w:t>
            </w:r>
          </w:p>
        </w:tc>
        <w:tc>
          <w:tcPr>
            <w:tcW w:w="12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rights that have not</w:t>
            </w: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have not yet vested</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Unexercisable</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vested (#)</w:t>
            </w:r>
          </w:p>
        </w:tc>
        <w:tc>
          <w:tcPr>
            <w:tcW w:w="126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4"/>
                <w:szCs w:val="14"/>
                <w:b w:val="1"/>
                <w:bCs w:val="1"/>
                <w:color w:val="auto"/>
                <w:w w:val="93"/>
              </w:rPr>
              <w:t xml:space="preserve">vested </w:t>
            </w:r>
            <w:r>
              <w:rPr>
                <w:rFonts w:ascii="Times New Roman" w:cs="Times New Roman" w:eastAsia="Times New Roman" w:hAnsi="Times New Roman"/>
                <w:sz w:val="17"/>
                <w:szCs w:val="17"/>
                <w:b w:val="1"/>
                <w:bCs w:val="1"/>
                <w:color w:val="auto"/>
                <w:w w:val="93"/>
                <w:vertAlign w:val="superscript"/>
              </w:rPr>
              <w:t>(16)</w:t>
            </w: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yet vested (#)</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3"/>
              </w:rPr>
              <w:t>(16)</w:t>
            </w:r>
          </w:p>
        </w:tc>
        <w:tc>
          <w:tcPr>
            <w:tcW w:w="0" w:type="dxa"/>
            <w:vAlign w:val="bottom"/>
          </w:tcPr>
          <w:p>
            <w:pPr>
              <w:spacing w:after="0"/>
              <w:rPr>
                <w:sz w:val="1"/>
                <w:szCs w:val="1"/>
                <w:color w:val="auto"/>
              </w:rPr>
            </w:pPr>
          </w:p>
        </w:tc>
      </w:tr>
      <w:tr>
        <w:trPr>
          <w:trHeight w:val="200"/>
        </w:trPr>
        <w:tc>
          <w:tcPr>
            <w:tcW w:w="1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 Eric Evans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 xml:space="preserve">483,500 </w:t>
            </w:r>
            <w:r>
              <w:rPr>
                <w:rFonts w:ascii="Times New Roman" w:cs="Times New Roman" w:eastAsia="Times New Roman" w:hAnsi="Times New Roman"/>
                <w:sz w:val="17"/>
                <w:szCs w:val="17"/>
                <w:color w:val="auto"/>
                <w:w w:val="93"/>
                <w:vertAlign w:val="superscript"/>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$11.54</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4/1/2029</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22,318 </w:t>
            </w:r>
            <w:r>
              <w:rPr>
                <w:rFonts w:ascii="Times New Roman" w:cs="Times New Roman" w:eastAsia="Times New Roman" w:hAnsi="Times New Roman"/>
                <w:sz w:val="17"/>
                <w:szCs w:val="17"/>
                <w:color w:val="auto"/>
                <w:w w:val="94"/>
                <w:vertAlign w:val="superscript"/>
              </w:rPr>
              <w:t>(3)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344,813</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37,631 </w:t>
            </w:r>
            <w:r>
              <w:rPr>
                <w:rFonts w:ascii="Times New Roman" w:cs="Times New Roman" w:eastAsia="Times New Roman" w:hAnsi="Times New Roman"/>
                <w:sz w:val="17"/>
                <w:szCs w:val="17"/>
                <w:color w:val="auto"/>
                <w:w w:val="94"/>
                <w:vertAlign w:val="superscript"/>
              </w:rPr>
              <w:t>(4)</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581,399</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84,033 </w:t>
            </w:r>
            <w:r>
              <w:rPr>
                <w:rFonts w:ascii="Times New Roman" w:cs="Times New Roman" w:eastAsia="Times New Roman" w:hAnsi="Times New Roman"/>
                <w:sz w:val="17"/>
                <w:szCs w:val="17"/>
                <w:color w:val="auto"/>
                <w:w w:val="94"/>
                <w:vertAlign w:val="superscript"/>
              </w:rPr>
              <w:t>(8)</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1,298,310</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29,411 </w:t>
            </w:r>
            <w:r>
              <w:rPr>
                <w:rFonts w:ascii="Times New Roman" w:cs="Times New Roman" w:eastAsia="Times New Roman" w:hAnsi="Times New Roman"/>
                <w:sz w:val="17"/>
                <w:szCs w:val="17"/>
                <w:color w:val="auto"/>
                <w:w w:val="94"/>
                <w:vertAlign w:val="superscript"/>
              </w:rPr>
              <w:t>(9)</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454,400</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66,950 </w:t>
            </w:r>
            <w:r>
              <w:rPr>
                <w:rFonts w:ascii="Times New Roman" w:cs="Times New Roman" w:eastAsia="Times New Roman" w:hAnsi="Times New Roman"/>
                <w:sz w:val="17"/>
                <w:szCs w:val="17"/>
                <w:color w:val="auto"/>
                <w:w w:val="91"/>
                <w:vertAlign w:val="superscript"/>
              </w:rPr>
              <w:t>(12)</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1,034,378</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84,669 </w:t>
            </w:r>
            <w:r>
              <w:rPr>
                <w:rFonts w:ascii="Times New Roman" w:cs="Times New Roman" w:eastAsia="Times New Roman" w:hAnsi="Times New Roman"/>
                <w:sz w:val="17"/>
                <w:szCs w:val="17"/>
                <w:color w:val="auto"/>
                <w:w w:val="91"/>
                <w:vertAlign w:val="superscript"/>
              </w:rPr>
              <w:t>(13)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1,308,136</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126,050 </w:t>
            </w:r>
            <w:r>
              <w:rPr>
                <w:rFonts w:ascii="Times New Roman" w:cs="Times New Roman" w:eastAsia="Times New Roman" w:hAnsi="Times New Roman"/>
                <w:sz w:val="17"/>
                <w:szCs w:val="17"/>
                <w:color w:val="auto"/>
                <w:w w:val="94"/>
                <w:vertAlign w:val="superscript"/>
              </w:rPr>
              <w:t>(14)</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1,947,473</w:t>
            </w:r>
          </w:p>
        </w:tc>
        <w:tc>
          <w:tcPr>
            <w:tcW w:w="0" w:type="dxa"/>
            <w:vAlign w:val="bottom"/>
          </w:tcPr>
          <w:p>
            <w:pPr>
              <w:spacing w:after="0"/>
              <w:rPr>
                <w:sz w:val="1"/>
                <w:szCs w:val="1"/>
                <w:color w:val="auto"/>
              </w:rPr>
            </w:pPr>
          </w:p>
        </w:tc>
      </w:tr>
      <w:tr>
        <w:trPr>
          <w:trHeight w:val="194"/>
        </w:trPr>
        <w:tc>
          <w:tcPr>
            <w:tcW w:w="1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David T. Doherty</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w w:val="91"/>
              </w:rPr>
              <w:t xml:space="preserve">7,101 </w:t>
            </w:r>
            <w:r>
              <w:rPr>
                <w:rFonts w:ascii="Times New Roman" w:cs="Times New Roman" w:eastAsia="Times New Roman" w:hAnsi="Times New Roman"/>
                <w:sz w:val="17"/>
                <w:szCs w:val="17"/>
                <w:color w:val="auto"/>
                <w:w w:val="91"/>
                <w:vertAlign w:val="superscript"/>
              </w:rPr>
              <w:t>(3)</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109,710</w:t>
            </w:r>
          </w:p>
        </w:tc>
        <w:tc>
          <w:tcPr>
            <w:tcW w:w="700" w:type="dxa"/>
            <w:vAlign w:val="bottom"/>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30,432 </w:t>
            </w:r>
            <w:r>
              <w:rPr>
                <w:rFonts w:ascii="Times New Roman" w:cs="Times New Roman" w:eastAsia="Times New Roman" w:hAnsi="Times New Roman"/>
                <w:sz w:val="17"/>
                <w:szCs w:val="17"/>
                <w:color w:val="auto"/>
                <w:w w:val="94"/>
                <w:vertAlign w:val="superscript"/>
              </w:rPr>
              <w:t>(5)</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470,174</w:t>
            </w:r>
          </w:p>
        </w:tc>
        <w:tc>
          <w:tcPr>
            <w:tcW w:w="700" w:type="dxa"/>
            <w:vAlign w:val="bottom"/>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17,105 </w:t>
            </w:r>
            <w:r>
              <w:rPr>
                <w:rFonts w:ascii="Times New Roman" w:cs="Times New Roman" w:eastAsia="Times New Roman" w:hAnsi="Times New Roman"/>
                <w:sz w:val="17"/>
                <w:szCs w:val="17"/>
                <w:color w:val="auto"/>
                <w:w w:val="94"/>
                <w:vertAlign w:val="superscript"/>
              </w:rPr>
              <w:t>(4)</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264,272</w:t>
            </w:r>
          </w:p>
        </w:tc>
        <w:tc>
          <w:tcPr>
            <w:tcW w:w="700" w:type="dxa"/>
            <w:vAlign w:val="bottom"/>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33,613 </w:t>
            </w:r>
            <w:r>
              <w:rPr>
                <w:rFonts w:ascii="Times New Roman" w:cs="Times New Roman" w:eastAsia="Times New Roman" w:hAnsi="Times New Roman"/>
                <w:sz w:val="17"/>
                <w:szCs w:val="17"/>
                <w:color w:val="auto"/>
                <w:w w:val="94"/>
                <w:vertAlign w:val="superscript"/>
              </w:rPr>
              <w:t>(8)</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519,321</w:t>
            </w:r>
          </w:p>
        </w:tc>
        <w:tc>
          <w:tcPr>
            <w:tcW w:w="700" w:type="dxa"/>
            <w:vAlign w:val="bottom"/>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15,126 </w:t>
            </w:r>
            <w:r>
              <w:rPr>
                <w:rFonts w:ascii="Times New Roman" w:cs="Times New Roman" w:eastAsia="Times New Roman" w:hAnsi="Times New Roman"/>
                <w:sz w:val="17"/>
                <w:szCs w:val="17"/>
                <w:color w:val="auto"/>
                <w:w w:val="94"/>
                <w:vertAlign w:val="superscript"/>
              </w:rPr>
              <w:t>(9)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233,697</w:t>
            </w:r>
          </w:p>
        </w:tc>
        <w:tc>
          <w:tcPr>
            <w:tcW w:w="700" w:type="dxa"/>
            <w:vAlign w:val="bottom"/>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21,302 </w:t>
            </w:r>
            <w:r>
              <w:rPr>
                <w:rFonts w:ascii="Times New Roman" w:cs="Times New Roman" w:eastAsia="Times New Roman" w:hAnsi="Times New Roman"/>
                <w:sz w:val="17"/>
                <w:szCs w:val="17"/>
                <w:color w:val="auto"/>
                <w:w w:val="91"/>
                <w:vertAlign w:val="superscript"/>
              </w:rPr>
              <w:t>(12)</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329,116</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38,486 </w:t>
            </w:r>
            <w:r>
              <w:rPr>
                <w:rFonts w:ascii="Times New Roman" w:cs="Times New Roman" w:eastAsia="Times New Roman" w:hAnsi="Times New Roman"/>
                <w:sz w:val="17"/>
                <w:szCs w:val="17"/>
                <w:color w:val="auto"/>
                <w:w w:val="91"/>
                <w:vertAlign w:val="superscript"/>
              </w:rPr>
              <w:t>(13)</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594,609</w:t>
            </w: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50,420 </w:t>
            </w:r>
            <w:r>
              <w:rPr>
                <w:rFonts w:ascii="Times New Roman" w:cs="Times New Roman" w:eastAsia="Times New Roman" w:hAnsi="Times New Roman"/>
                <w:sz w:val="17"/>
                <w:szCs w:val="17"/>
                <w:color w:val="auto"/>
                <w:w w:val="91"/>
                <w:vertAlign w:val="superscript"/>
              </w:rPr>
              <w:t>(14)</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778,989</w:t>
            </w: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Jennifer B. Baldock</w:t>
            </w:r>
          </w:p>
        </w:tc>
        <w:tc>
          <w:tcPr>
            <w:tcW w:w="126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4"/>
                <w:szCs w:val="14"/>
                <w:color w:val="auto"/>
                <w:w w:val="93"/>
              </w:rPr>
              <w:t xml:space="preserve">199,500 </w:t>
            </w:r>
            <w:r>
              <w:rPr>
                <w:rFonts w:ascii="Times New Roman" w:cs="Times New Roman" w:eastAsia="Times New Roman" w:hAnsi="Times New Roman"/>
                <w:sz w:val="17"/>
                <w:szCs w:val="17"/>
                <w:color w:val="auto"/>
                <w:w w:val="93"/>
                <w:vertAlign w:val="superscript"/>
              </w:rPr>
              <w:t>(2)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13.42</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3/15/2029</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6,087 </w:t>
            </w:r>
            <w:r>
              <w:rPr>
                <w:rFonts w:ascii="Times New Roman" w:cs="Times New Roman" w:eastAsia="Times New Roman" w:hAnsi="Times New Roman"/>
                <w:sz w:val="17"/>
                <w:szCs w:val="17"/>
                <w:color w:val="auto"/>
                <w:w w:val="91"/>
                <w:vertAlign w:val="superscript"/>
              </w:rPr>
              <w:t>(3)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94,044</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22,824 </w:t>
            </w:r>
            <w:r>
              <w:rPr>
                <w:rFonts w:ascii="Times New Roman" w:cs="Times New Roman" w:eastAsia="Times New Roman" w:hAnsi="Times New Roman"/>
                <w:sz w:val="17"/>
                <w:szCs w:val="17"/>
                <w:color w:val="auto"/>
                <w:w w:val="94"/>
                <w:vertAlign w:val="superscript"/>
              </w:rPr>
              <w:t>(5)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352,631</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12,829 </w:t>
            </w:r>
            <w:r>
              <w:rPr>
                <w:rFonts w:ascii="Times New Roman" w:cs="Times New Roman" w:eastAsia="Times New Roman" w:hAnsi="Times New Roman"/>
                <w:sz w:val="17"/>
                <w:szCs w:val="17"/>
                <w:color w:val="auto"/>
                <w:w w:val="94"/>
                <w:vertAlign w:val="superscript"/>
              </w:rPr>
              <w:t>(4)</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198,208</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25,210 </w:t>
            </w:r>
            <w:r>
              <w:rPr>
                <w:rFonts w:ascii="Times New Roman" w:cs="Times New Roman" w:eastAsia="Times New Roman" w:hAnsi="Times New Roman"/>
                <w:sz w:val="17"/>
                <w:szCs w:val="17"/>
                <w:color w:val="auto"/>
                <w:w w:val="94"/>
                <w:vertAlign w:val="superscript"/>
              </w:rPr>
              <w:t>(8)</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389,495</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14,285 </w:t>
            </w:r>
            <w:r>
              <w:rPr>
                <w:rFonts w:ascii="Times New Roman" w:cs="Times New Roman" w:eastAsia="Times New Roman" w:hAnsi="Times New Roman"/>
                <w:sz w:val="17"/>
                <w:szCs w:val="17"/>
                <w:color w:val="auto"/>
                <w:w w:val="94"/>
                <w:vertAlign w:val="superscript"/>
              </w:rPr>
              <w:t>(9)</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220,703</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18,259 </w:t>
            </w:r>
            <w:r>
              <w:rPr>
                <w:rFonts w:ascii="Times New Roman" w:cs="Times New Roman" w:eastAsia="Times New Roman" w:hAnsi="Times New Roman"/>
                <w:sz w:val="17"/>
                <w:szCs w:val="17"/>
                <w:color w:val="auto"/>
                <w:w w:val="91"/>
                <w:vertAlign w:val="superscript"/>
              </w:rPr>
              <w:t>(12)</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282,102</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28,864 </w:t>
            </w:r>
            <w:r>
              <w:rPr>
                <w:rFonts w:ascii="Times New Roman" w:cs="Times New Roman" w:eastAsia="Times New Roman" w:hAnsi="Times New Roman"/>
                <w:sz w:val="17"/>
                <w:szCs w:val="17"/>
                <w:color w:val="auto"/>
                <w:w w:val="91"/>
                <w:vertAlign w:val="superscript"/>
              </w:rPr>
              <w:t>(13)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445,949</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37,815 </w:t>
            </w:r>
            <w:r>
              <w:rPr>
                <w:rFonts w:ascii="Times New Roman" w:cs="Times New Roman" w:eastAsia="Times New Roman" w:hAnsi="Times New Roman"/>
                <w:sz w:val="17"/>
                <w:szCs w:val="17"/>
                <w:color w:val="auto"/>
                <w:w w:val="91"/>
                <w:vertAlign w:val="superscript"/>
              </w:rPr>
              <w:t>(14)</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584,242</w:t>
            </w:r>
          </w:p>
        </w:tc>
        <w:tc>
          <w:tcPr>
            <w:tcW w:w="0" w:type="dxa"/>
            <w:vAlign w:val="bottom"/>
          </w:tcPr>
          <w:p>
            <w:pPr>
              <w:spacing w:after="0"/>
              <w:rPr>
                <w:sz w:val="1"/>
                <w:szCs w:val="1"/>
                <w:color w:val="auto"/>
              </w:rPr>
            </w:pPr>
          </w:p>
        </w:tc>
      </w:tr>
      <w:tr>
        <w:trPr>
          <w:trHeight w:val="134"/>
        </w:trPr>
        <w:tc>
          <w:tcPr>
            <w:tcW w:w="1260" w:type="dxa"/>
            <w:vAlign w:val="bottom"/>
          </w:tcPr>
          <w:p>
            <w:pPr>
              <w:ind w:left="40"/>
              <w:spacing w:after="0" w:line="135" w:lineRule="exact"/>
              <w:rPr>
                <w:sz w:val="20"/>
                <w:szCs w:val="20"/>
                <w:color w:val="auto"/>
              </w:rPr>
            </w:pPr>
            <w:r>
              <w:rPr>
                <w:rFonts w:ascii="Times New Roman" w:cs="Times New Roman" w:eastAsia="Times New Roman" w:hAnsi="Times New Roman"/>
                <w:sz w:val="14"/>
                <w:szCs w:val="14"/>
                <w:color w:val="auto"/>
              </w:rPr>
              <w:t>Marissa A.</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 xml:space="preserve">2,537 </w:t>
            </w:r>
            <w:r>
              <w:rPr>
                <w:rFonts w:ascii="Times New Roman" w:cs="Times New Roman" w:eastAsia="Times New Roman" w:hAnsi="Times New Roman"/>
                <w:sz w:val="15"/>
                <w:szCs w:val="15"/>
                <w:color w:val="auto"/>
                <w:vertAlign w:val="superscript"/>
              </w:rPr>
              <w:t>(3)</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8"/>
              </w:rPr>
              <w:t>39,197</w:t>
            </w:r>
          </w:p>
        </w:tc>
        <w:tc>
          <w:tcPr>
            <w:tcW w:w="700" w:type="dxa"/>
            <w:vAlign w:val="bottom"/>
          </w:tcPr>
          <w:p>
            <w:pPr>
              <w:jc w:val="center"/>
              <w:ind w:left="492"/>
              <w:spacing w:after="0" w:line="135" w:lineRule="exact"/>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66"/>
        </w:trPr>
        <w:tc>
          <w:tcPr>
            <w:tcW w:w="1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Brittenham</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15,216 </w:t>
            </w:r>
            <w:r>
              <w:rPr>
                <w:rFonts w:ascii="Times New Roman" w:cs="Times New Roman" w:eastAsia="Times New Roman" w:hAnsi="Times New Roman"/>
                <w:sz w:val="17"/>
                <w:szCs w:val="17"/>
                <w:color w:val="auto"/>
                <w:w w:val="94"/>
                <w:vertAlign w:val="superscript"/>
              </w:rPr>
              <w:t>(5)</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235,087</w:t>
            </w:r>
          </w:p>
        </w:tc>
        <w:tc>
          <w:tcPr>
            <w:tcW w:w="700" w:type="dxa"/>
            <w:vAlign w:val="bottom"/>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1,443 </w:t>
            </w:r>
            <w:r>
              <w:rPr>
                <w:rFonts w:ascii="Times New Roman" w:cs="Times New Roman" w:eastAsia="Times New Roman" w:hAnsi="Times New Roman"/>
                <w:sz w:val="17"/>
                <w:szCs w:val="17"/>
                <w:color w:val="auto"/>
                <w:w w:val="91"/>
                <w:vertAlign w:val="superscript"/>
              </w:rPr>
              <w:t>(6)</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22,294</w:t>
            </w:r>
          </w:p>
        </w:tc>
        <w:tc>
          <w:tcPr>
            <w:tcW w:w="700" w:type="dxa"/>
            <w:vAlign w:val="bottom"/>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5,132 </w:t>
            </w:r>
            <w:r>
              <w:rPr>
                <w:rFonts w:ascii="Times New Roman" w:cs="Times New Roman" w:eastAsia="Times New Roman" w:hAnsi="Times New Roman"/>
                <w:sz w:val="17"/>
                <w:szCs w:val="17"/>
                <w:color w:val="auto"/>
                <w:w w:val="91"/>
                <w:vertAlign w:val="superscript"/>
              </w:rPr>
              <w:t>(4)</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79,289</w:t>
            </w:r>
          </w:p>
        </w:tc>
        <w:tc>
          <w:tcPr>
            <w:tcW w:w="700" w:type="dxa"/>
            <w:vAlign w:val="bottom"/>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10,084 </w:t>
            </w:r>
            <w:r>
              <w:rPr>
                <w:rFonts w:ascii="Times New Roman" w:cs="Times New Roman" w:eastAsia="Times New Roman" w:hAnsi="Times New Roman"/>
                <w:sz w:val="17"/>
                <w:szCs w:val="17"/>
                <w:color w:val="auto"/>
                <w:w w:val="94"/>
                <w:vertAlign w:val="superscript"/>
              </w:rPr>
              <w:t>(8)</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155,798</w:t>
            </w:r>
          </w:p>
        </w:tc>
        <w:tc>
          <w:tcPr>
            <w:tcW w:w="700" w:type="dxa"/>
            <w:vAlign w:val="bottom"/>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6,302 </w:t>
            </w:r>
            <w:r>
              <w:rPr>
                <w:rFonts w:ascii="Times New Roman" w:cs="Times New Roman" w:eastAsia="Times New Roman" w:hAnsi="Times New Roman"/>
                <w:sz w:val="17"/>
                <w:szCs w:val="17"/>
                <w:color w:val="auto"/>
                <w:w w:val="91"/>
                <w:vertAlign w:val="superscript"/>
              </w:rPr>
              <w:t>(9)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97,366</w:t>
            </w:r>
          </w:p>
        </w:tc>
        <w:tc>
          <w:tcPr>
            <w:tcW w:w="700" w:type="dxa"/>
            <w:vAlign w:val="bottom"/>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7,608</w:t>
            </w:r>
          </w:p>
        </w:tc>
        <w:tc>
          <w:tcPr>
            <w:tcW w:w="560" w:type="dxa"/>
            <w:vAlign w:val="bottom"/>
          </w:tcPr>
          <w:p>
            <w:pPr>
              <w:jc w:val="right"/>
              <w:ind w:right="335"/>
              <w:spacing w:after="0"/>
              <w:rPr>
                <w:sz w:val="20"/>
                <w:szCs w:val="20"/>
                <w:color w:val="auto"/>
              </w:rPr>
            </w:pPr>
            <w:r>
              <w:rPr>
                <w:rFonts w:ascii="Times New Roman" w:cs="Times New Roman" w:eastAsia="Times New Roman" w:hAnsi="Times New Roman"/>
                <w:sz w:val="9"/>
                <w:szCs w:val="9"/>
                <w:color w:val="auto"/>
              </w:rPr>
              <w:t>(12)</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117,544</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11,545 </w:t>
            </w:r>
            <w:r>
              <w:rPr>
                <w:rFonts w:ascii="Times New Roman" w:cs="Times New Roman" w:eastAsia="Times New Roman" w:hAnsi="Times New Roman"/>
                <w:sz w:val="17"/>
                <w:szCs w:val="17"/>
                <w:color w:val="auto"/>
                <w:w w:val="91"/>
                <w:vertAlign w:val="superscript"/>
              </w:rPr>
              <w:t>(13)</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178,370</w:t>
            </w: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15,126 </w:t>
            </w:r>
            <w:r>
              <w:rPr>
                <w:rFonts w:ascii="Times New Roman" w:cs="Times New Roman" w:eastAsia="Times New Roman" w:hAnsi="Times New Roman"/>
                <w:sz w:val="17"/>
                <w:szCs w:val="17"/>
                <w:color w:val="auto"/>
                <w:w w:val="91"/>
                <w:vertAlign w:val="superscript"/>
              </w:rPr>
              <w:t>(14)</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233,697</w:t>
            </w: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 Trent Webb</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4"/>
                <w:szCs w:val="14"/>
                <w:color w:val="auto"/>
                <w:w w:val="91"/>
              </w:rPr>
              <w:t xml:space="preserve">1,015 </w:t>
            </w:r>
            <w:r>
              <w:rPr>
                <w:rFonts w:ascii="Times New Roman" w:cs="Times New Roman" w:eastAsia="Times New Roman" w:hAnsi="Times New Roman"/>
                <w:sz w:val="17"/>
                <w:szCs w:val="17"/>
                <w:color w:val="auto"/>
                <w:w w:val="91"/>
                <w:vertAlign w:val="superscript"/>
              </w:rPr>
              <w:t>(3)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15,682</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8"/>
              </w:rPr>
              <w:t xml:space="preserve">1,522 </w:t>
            </w:r>
            <w:r>
              <w:rPr>
                <w:rFonts w:ascii="Times New Roman" w:cs="Times New Roman" w:eastAsia="Times New Roman" w:hAnsi="Times New Roman"/>
                <w:sz w:val="17"/>
                <w:szCs w:val="17"/>
                <w:color w:val="auto"/>
                <w:w w:val="88"/>
                <w:vertAlign w:val="superscript"/>
              </w:rPr>
              <w:t>(10)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23,515</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23"/>
                <w:szCs w:val="23"/>
                <w:color w:val="auto"/>
                <w:vertAlign w:val="subscript"/>
              </w:rPr>
              <w:t>561</w:t>
            </w:r>
            <w:r>
              <w:rPr>
                <w:rFonts w:ascii="Times New Roman" w:cs="Times New Roman" w:eastAsia="Times New Roman" w:hAnsi="Times New Roman"/>
                <w:sz w:val="8"/>
                <w:szCs w:val="8"/>
                <w:color w:val="auto"/>
              </w:rPr>
              <w:t xml:space="preserve"> (6)</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8,667</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2,139 </w:t>
            </w:r>
            <w:r>
              <w:rPr>
                <w:rFonts w:ascii="Times New Roman" w:cs="Times New Roman" w:eastAsia="Times New Roman" w:hAnsi="Times New Roman"/>
                <w:sz w:val="17"/>
                <w:szCs w:val="17"/>
                <w:color w:val="auto"/>
                <w:w w:val="91"/>
                <w:vertAlign w:val="superscript"/>
              </w:rPr>
              <w:t>(4)</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33,048</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8"/>
              </w:rPr>
              <w:t xml:space="preserve">3,207 </w:t>
            </w:r>
            <w:r>
              <w:rPr>
                <w:rFonts w:ascii="Times New Roman" w:cs="Times New Roman" w:eastAsia="Times New Roman" w:hAnsi="Times New Roman"/>
                <w:sz w:val="17"/>
                <w:szCs w:val="17"/>
                <w:color w:val="auto"/>
                <w:w w:val="88"/>
                <w:vertAlign w:val="superscript"/>
              </w:rPr>
              <w:t>(11)</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49,548</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1,252 </w:t>
            </w:r>
            <w:r>
              <w:rPr>
                <w:rFonts w:ascii="Times New Roman" w:cs="Times New Roman" w:eastAsia="Times New Roman" w:hAnsi="Times New Roman"/>
                <w:sz w:val="17"/>
                <w:szCs w:val="17"/>
                <w:color w:val="auto"/>
                <w:w w:val="91"/>
                <w:vertAlign w:val="superscript"/>
              </w:rPr>
              <w:t>(7)</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19,343</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12,605 </w:t>
            </w:r>
            <w:r>
              <w:rPr>
                <w:rFonts w:ascii="Times New Roman" w:cs="Times New Roman" w:eastAsia="Times New Roman" w:hAnsi="Times New Roman"/>
                <w:sz w:val="17"/>
                <w:szCs w:val="17"/>
                <w:color w:val="auto"/>
                <w:w w:val="94"/>
                <w:vertAlign w:val="superscript"/>
              </w:rPr>
              <w:t>(8)</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194,747</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3,781 </w:t>
            </w:r>
            <w:r>
              <w:rPr>
                <w:rFonts w:ascii="Times New Roman" w:cs="Times New Roman" w:eastAsia="Times New Roman" w:hAnsi="Times New Roman"/>
                <w:sz w:val="17"/>
                <w:szCs w:val="17"/>
                <w:color w:val="auto"/>
                <w:w w:val="91"/>
                <w:vertAlign w:val="superscript"/>
              </w:rPr>
              <w:t>(9)</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58,416</w:t>
            </w:r>
          </w:p>
        </w:tc>
        <w:tc>
          <w:tcPr>
            <w:tcW w:w="7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3"/>
        </w:trPr>
        <w:tc>
          <w:tcPr>
            <w:tcW w:w="1260" w:type="dxa"/>
            <w:vAlign w:val="bottom"/>
            <w:shd w:val="clear" w:color="auto" w:fill="CCEEFF"/>
          </w:tcPr>
          <w:p>
            <w:pPr>
              <w:spacing w:after="0"/>
              <w:rPr>
                <w:sz w:val="15"/>
                <w:szCs w:val="15"/>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56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9"/>
                <w:szCs w:val="9"/>
                <w:color w:val="auto"/>
              </w:rPr>
              <w:t>(15)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43,507</w:t>
            </w:r>
          </w:p>
        </w:tc>
        <w:tc>
          <w:tcPr>
            <w:tcW w:w="0" w:type="dxa"/>
            <w:vAlign w:val="bottom"/>
          </w:tcPr>
          <w:p>
            <w:pPr>
              <w:spacing w:after="0"/>
              <w:rPr>
                <w:sz w:val="1"/>
                <w:szCs w:val="1"/>
                <w:color w:val="auto"/>
              </w:rPr>
            </w:pPr>
          </w:p>
        </w:tc>
      </w:tr>
      <w:tr>
        <w:trPr>
          <w:trHeight w:val="242"/>
        </w:trPr>
        <w:tc>
          <w:tcPr>
            <w:tcW w:w="126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 xml:space="preserve">18,907 </w:t>
            </w:r>
            <w:r>
              <w:rPr>
                <w:rFonts w:ascii="Times New Roman" w:cs="Times New Roman" w:eastAsia="Times New Roman" w:hAnsi="Times New Roman"/>
                <w:sz w:val="17"/>
                <w:szCs w:val="17"/>
                <w:color w:val="auto"/>
                <w:w w:val="91"/>
                <w:vertAlign w:val="superscript"/>
              </w:rPr>
              <w:t>(14)</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292,113</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w:t>
      </w:r>
    </w:p>
    <w:p>
      <w:pPr>
        <w:spacing w:after="0" w:line="114" w:lineRule="exact"/>
        <w:rPr>
          <w:sz w:val="20"/>
          <w:szCs w:val="20"/>
          <w:color w:val="auto"/>
        </w:rPr>
      </w:pPr>
    </w:p>
    <w:p>
      <w:pPr>
        <w:ind w:left="320" w:right="180" w:hanging="317"/>
        <w:spacing w:after="0" w:line="271" w:lineRule="auto"/>
        <w:tabs>
          <w:tab w:leader="none" w:pos="31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non-qualified stock options granted on April 1, 2019 to Mr. Evans in connection with the commencement of his employment with the Company, which became fully vested on December 31, 2022.</w:t>
      </w:r>
    </w:p>
    <w:p>
      <w:pPr>
        <w:sectPr>
          <w:pgSz w:w="11900" w:h="16838" w:orient="portrait"/>
          <w:cols w:equalWidth="0" w:num="1">
            <w:col w:w="11200"/>
          </w:cols>
          <w:pgMar w:left="320" w:top="115" w:right="37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85725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left="320" w:right="280" w:hanging="317"/>
        <w:spacing w:after="0" w:line="271" w:lineRule="auto"/>
        <w:tabs>
          <w:tab w:leader="none" w:pos="31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non-qualified stock options granted on March 15, 2019, in exchange for the cancellation of previously issued leveraged performance units. The non-qualified stock options became fully vested on December 31, 2022.</w:t>
      </w:r>
    </w:p>
    <w:p>
      <w:pPr>
        <w:spacing w:after="0" w:line="9" w:lineRule="exact"/>
        <w:rPr>
          <w:rFonts w:ascii="Times New Roman" w:cs="Times New Roman" w:eastAsia="Times New Roman" w:hAnsi="Times New Roman"/>
          <w:sz w:val="17"/>
          <w:szCs w:val="17"/>
          <w:color w:val="auto"/>
        </w:rPr>
      </w:pPr>
    </w:p>
    <w:p>
      <w:pPr>
        <w:ind w:left="320" w:right="100" w:hanging="317"/>
        <w:spacing w:after="0" w:line="269" w:lineRule="auto"/>
        <w:tabs>
          <w:tab w:leader="none" w:pos="31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remaining one-third of restricted stock awards granted on March 2, 2023, of which one-third of the original award vests upon the first, second and third anniversaries of the date of grant, generally subject to continued employment through each vesting date.</w:t>
      </w:r>
    </w:p>
    <w:p>
      <w:pPr>
        <w:ind w:left="320" w:right="60" w:hanging="317"/>
        <w:spacing w:after="0" w:line="276" w:lineRule="auto"/>
        <w:tabs>
          <w:tab w:leader="none" w:pos="31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remaining two-thirds of restricted stock awards granted on February 28, 2024, of which one-third of the original award vests upon the first, second and third anniversaries of the date of grant, generally subject to continued employment through each vesting date.</w:t>
      </w:r>
    </w:p>
    <w:p>
      <w:pPr>
        <w:spacing w:after="0" w:line="1" w:lineRule="exact"/>
        <w:rPr>
          <w:rFonts w:ascii="Times New Roman" w:cs="Times New Roman" w:eastAsia="Times New Roman" w:hAnsi="Times New Roman"/>
          <w:sz w:val="17"/>
          <w:szCs w:val="17"/>
          <w:color w:val="auto"/>
        </w:rPr>
      </w:pPr>
    </w:p>
    <w:p>
      <w:pPr>
        <w:ind w:left="320" w:right="40" w:hanging="317"/>
        <w:spacing w:after="0" w:line="271" w:lineRule="auto"/>
        <w:tabs>
          <w:tab w:leader="none" w:pos="31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special restricted stock awards granted on March 2, 2023, which are subject to a one-time cliff vesting on the third anniversary of the date of grant, generally subject to continued employment through the vesting date.</w:t>
      </w:r>
    </w:p>
    <w:p>
      <w:pPr>
        <w:spacing w:after="0" w:line="9" w:lineRule="exact"/>
        <w:rPr>
          <w:rFonts w:ascii="Times New Roman" w:cs="Times New Roman" w:eastAsia="Times New Roman" w:hAnsi="Times New Roman"/>
          <w:sz w:val="17"/>
          <w:szCs w:val="17"/>
          <w:color w:val="auto"/>
        </w:rPr>
      </w:pPr>
    </w:p>
    <w:p>
      <w:pPr>
        <w:ind w:left="320" w:right="280" w:hanging="317"/>
        <w:spacing w:after="0" w:line="269" w:lineRule="auto"/>
        <w:tabs>
          <w:tab w:leader="none" w:pos="31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remaining one-half of special restricted stock awards granted on February 28, 2024, of which one-half of the original award vests upon the first and second anniversaries of the date of grant, generally subject to continued employment through each vesting date.</w:t>
      </w:r>
    </w:p>
    <w:p>
      <w:pPr>
        <w:ind w:left="320" w:right="20" w:hanging="317"/>
        <w:spacing w:after="0" w:line="276" w:lineRule="auto"/>
        <w:tabs>
          <w:tab w:leader="none" w:pos="31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remaining two-thirds of special restricted stock awards granted on September 1, 2024, of which one-third of the original award vests upon the first, second and third anniversaries of the date of grant, generally subject to continued employment through each vesting date.</w:t>
      </w:r>
    </w:p>
    <w:p>
      <w:pPr>
        <w:spacing w:after="0" w:line="1" w:lineRule="exact"/>
        <w:rPr>
          <w:rFonts w:ascii="Times New Roman" w:cs="Times New Roman" w:eastAsia="Times New Roman" w:hAnsi="Times New Roman"/>
          <w:sz w:val="17"/>
          <w:szCs w:val="17"/>
          <w:color w:val="auto"/>
        </w:rPr>
      </w:pPr>
    </w:p>
    <w:p>
      <w:pPr>
        <w:ind w:left="320" w:right="200" w:hanging="317"/>
        <w:spacing w:after="0" w:line="271" w:lineRule="auto"/>
        <w:tabs>
          <w:tab w:leader="none" w:pos="31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restricted stock awards granted on March 4, 2025, of which one-third of the original award vests upon the first, second and third anniversaries of the date of grant, generally subject to continued employment through each vesting date.</w:t>
      </w:r>
    </w:p>
    <w:p>
      <w:pPr>
        <w:spacing w:after="0" w:line="9" w:lineRule="exact"/>
        <w:rPr>
          <w:rFonts w:ascii="Times New Roman" w:cs="Times New Roman" w:eastAsia="Times New Roman" w:hAnsi="Times New Roman"/>
          <w:sz w:val="17"/>
          <w:szCs w:val="17"/>
          <w:color w:val="auto"/>
        </w:rPr>
      </w:pPr>
    </w:p>
    <w:p>
      <w:pPr>
        <w:ind w:left="320" w:right="100" w:hanging="317"/>
        <w:spacing w:after="0" w:line="269" w:lineRule="auto"/>
        <w:tabs>
          <w:tab w:leader="none" w:pos="31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special restricted stock awards granted on March 4, 2025, which are subject to a one-time cliff vesting on the first anniversary of the date of grant, generally subject to continued employment through the vesting date.</w:t>
      </w:r>
    </w:p>
    <w:p>
      <w:pPr>
        <w:ind w:left="320" w:right="240" w:hanging="317"/>
        <w:spacing w:after="0" w:line="276" w:lineRule="auto"/>
        <w:tabs>
          <w:tab w:leader="none" w:pos="31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remaining one-half of PSUs granted on March 2, 2023 and certified by the Board on February 28, 2024, of which one-half of the original award vests upon the first and second anniversaries of the date of certification, generally subject to continued employment through each vesting date.</w:t>
      </w:r>
    </w:p>
    <w:p>
      <w:pPr>
        <w:spacing w:after="0" w:line="1" w:lineRule="exact"/>
        <w:rPr>
          <w:rFonts w:ascii="Times New Roman" w:cs="Times New Roman" w:eastAsia="Times New Roman" w:hAnsi="Times New Roman"/>
          <w:sz w:val="17"/>
          <w:szCs w:val="17"/>
          <w:color w:val="auto"/>
        </w:rPr>
      </w:pPr>
    </w:p>
    <w:p>
      <w:pPr>
        <w:ind w:left="320" w:right="280" w:hanging="317"/>
        <w:spacing w:after="0" w:line="271" w:lineRule="auto"/>
        <w:tabs>
          <w:tab w:leader="none" w:pos="30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PSUs granted on February 28, 2024 and certified by the Board on January 31, 2025, of which one-half of the original award vests upon the first and second anniversaries of the date of certification, generally subject to continued employment through each vesting date.</w:t>
      </w:r>
    </w:p>
    <w:p>
      <w:pPr>
        <w:spacing w:after="0" w:line="9" w:lineRule="exact"/>
        <w:rPr>
          <w:rFonts w:ascii="Times New Roman" w:cs="Times New Roman" w:eastAsia="Times New Roman" w:hAnsi="Times New Roman"/>
          <w:sz w:val="17"/>
          <w:szCs w:val="17"/>
          <w:color w:val="auto"/>
        </w:rPr>
      </w:pPr>
    </w:p>
    <w:p>
      <w:pPr>
        <w:ind w:left="320" w:right="60" w:hanging="317"/>
        <w:spacing w:after="0" w:line="269" w:lineRule="auto"/>
        <w:tabs>
          <w:tab w:leader="none" w:pos="31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PSUs granted (at target) on March 2, 2023, which vest on the third anniversary of the grant date if certain performance criterion is achieved during the three-year period. As of December 31, 2025, the performance criteria was not met.</w:t>
      </w:r>
    </w:p>
    <w:p>
      <w:pPr>
        <w:ind w:left="320" w:right="300" w:hanging="317"/>
        <w:spacing w:after="0" w:line="276" w:lineRule="auto"/>
        <w:tabs>
          <w:tab w:leader="none" w:pos="31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PSUs granted (at target) on February 28, 2024, which vest on the third anniversary of the grant date if certain performance criterion is achieved during the three-year period. As of December 31, 2025, the performance criteria is not likely to be met.</w:t>
      </w:r>
    </w:p>
    <w:p>
      <w:pPr>
        <w:spacing w:after="0" w:line="1" w:lineRule="exact"/>
        <w:rPr>
          <w:rFonts w:ascii="Times New Roman" w:cs="Times New Roman" w:eastAsia="Times New Roman" w:hAnsi="Times New Roman"/>
          <w:sz w:val="17"/>
          <w:szCs w:val="17"/>
          <w:color w:val="auto"/>
        </w:rPr>
      </w:pPr>
    </w:p>
    <w:p>
      <w:pPr>
        <w:ind w:left="320" w:right="440" w:hanging="317"/>
        <w:spacing w:after="0" w:line="271" w:lineRule="auto"/>
        <w:tabs>
          <w:tab w:leader="none" w:pos="31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PSUs granted (at target) on March 4, 2025, which vest as set forth in the section titled "Compensation Discussion and Analysis - Elements of Named Executive Officer Compensation - Long-Term Incentive Awards - 2025 Annual Awards."</w:t>
      </w:r>
    </w:p>
    <w:p>
      <w:pPr>
        <w:spacing w:after="0" w:line="9" w:lineRule="exact"/>
        <w:rPr>
          <w:rFonts w:ascii="Times New Roman" w:cs="Times New Roman" w:eastAsia="Times New Roman" w:hAnsi="Times New Roman"/>
          <w:sz w:val="17"/>
          <w:szCs w:val="17"/>
          <w:color w:val="auto"/>
        </w:rPr>
      </w:pPr>
    </w:p>
    <w:p>
      <w:pPr>
        <w:ind w:left="320" w:right="260" w:hanging="317"/>
        <w:spacing w:after="0" w:line="271" w:lineRule="auto"/>
        <w:tabs>
          <w:tab w:leader="none" w:pos="31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PSUs granted (at target) on September 1, 2024, which vest on the third anniversary of the grant date if certain performance criterion is achieved during the three-year period. As of December 31, 2025, the performance criteria is not likely to be met.</w:t>
      </w:r>
    </w:p>
    <w:p>
      <w:pPr>
        <w:spacing w:after="0" w:line="4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closing price of a share of our common stock on December 31, 2025 of $15.45, except as otherwise indicated.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Stock Vested</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information regarding stock awards that vested for our NEOs during the year ended December 31,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70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0"/>
                <w:szCs w:val="10"/>
                <w:color w:val="auto"/>
              </w:rPr>
            </w:pPr>
          </w:p>
        </w:tc>
        <w:tc>
          <w:tcPr>
            <w:tcW w:w="4140" w:type="dxa"/>
            <w:vAlign w:val="bottom"/>
            <w:gridSpan w:val="2"/>
          </w:tcPr>
          <w:p>
            <w:pPr>
              <w:jc w:val="center"/>
              <w:ind w:right="2011"/>
              <w:spacing w:after="0" w:line="122" w:lineRule="exact"/>
              <w:rPr>
                <w:sz w:val="20"/>
                <w:szCs w:val="20"/>
                <w:color w:val="auto"/>
              </w:rPr>
            </w:pPr>
            <w:r>
              <w:rPr>
                <w:rFonts w:ascii="Times New Roman" w:cs="Times New Roman" w:eastAsia="Times New Roman" w:hAnsi="Times New Roman"/>
                <w:sz w:val="14"/>
                <w:szCs w:val="14"/>
                <w:b w:val="1"/>
                <w:bCs w:val="1"/>
                <w:color w:val="auto"/>
                <w:w w:val="97"/>
              </w:rPr>
              <w:t>Number of Shares Acquired on</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491"/>
              <w:spacing w:after="0"/>
              <w:rPr>
                <w:sz w:val="20"/>
                <w:szCs w:val="20"/>
                <w:color w:val="auto"/>
              </w:rPr>
            </w:pPr>
            <w:r>
              <w:rPr>
                <w:rFonts w:ascii="Times New Roman" w:cs="Times New Roman" w:eastAsia="Times New Roman" w:hAnsi="Times New Roman"/>
                <w:sz w:val="14"/>
                <w:szCs w:val="14"/>
                <w:b w:val="1"/>
                <w:bCs w:val="1"/>
                <w:color w:val="auto"/>
                <w:w w:val="95"/>
              </w:rPr>
              <w:t>Vesting (#)</w:t>
            </w:r>
          </w:p>
        </w:tc>
        <w:tc>
          <w:tcPr>
            <w:tcW w:w="26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Value Realized on Vesting</w:t>
            </w:r>
          </w:p>
        </w:tc>
        <w:tc>
          <w:tcPr>
            <w:tcW w:w="0" w:type="dxa"/>
            <w:vAlign w:val="bottom"/>
          </w:tcPr>
          <w:p>
            <w:pPr>
              <w:spacing w:after="0"/>
              <w:rPr>
                <w:sz w:val="1"/>
                <w:szCs w:val="1"/>
                <w:color w:val="auto"/>
              </w:rPr>
            </w:pPr>
          </w:p>
        </w:tc>
      </w:tr>
      <w:tr>
        <w:trPr>
          <w:trHeight w:val="205"/>
        </w:trPr>
        <w:tc>
          <w:tcPr>
            <w:tcW w:w="7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J. Eric Evans</w:t>
            </w:r>
          </w:p>
        </w:tc>
        <w:tc>
          <w:tcPr>
            <w:tcW w:w="1600" w:type="dxa"/>
            <w:vAlign w:val="bottom"/>
            <w:gridSpan w:val="2"/>
            <w:shd w:val="clear" w:color="auto" w:fill="CCEEFF"/>
          </w:tcPr>
          <w:p>
            <w:pPr>
              <w:jc w:val="center"/>
              <w:ind w:left="591"/>
              <w:spacing w:after="0"/>
              <w:rPr>
                <w:sz w:val="20"/>
                <w:szCs w:val="20"/>
                <w:color w:val="auto"/>
              </w:rPr>
            </w:pPr>
            <w:r>
              <w:rPr>
                <w:rFonts w:ascii="Times New Roman" w:cs="Times New Roman" w:eastAsia="Times New Roman" w:hAnsi="Times New Roman"/>
                <w:sz w:val="14"/>
                <w:szCs w:val="14"/>
                <w:color w:val="auto"/>
                <w:w w:val="93"/>
              </w:rPr>
              <w:t xml:space="preserve">111,048 </w:t>
            </w:r>
            <w:r>
              <w:rPr>
                <w:rFonts w:ascii="Times New Roman" w:cs="Times New Roman" w:eastAsia="Times New Roman" w:hAnsi="Times New Roman"/>
                <w:sz w:val="17"/>
                <w:szCs w:val="17"/>
                <w:color w:val="auto"/>
                <w:w w:val="93"/>
                <w:vertAlign w:val="superscript"/>
              </w:rPr>
              <w:t>(1)</w:t>
            </w:r>
          </w:p>
        </w:tc>
        <w:tc>
          <w:tcPr>
            <w:tcW w:w="264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w w:val="98"/>
              </w:rPr>
              <w:t>$2,859,486</w:t>
            </w:r>
          </w:p>
        </w:tc>
        <w:tc>
          <w:tcPr>
            <w:tcW w:w="0" w:type="dxa"/>
            <w:vAlign w:val="bottom"/>
          </w:tcPr>
          <w:p>
            <w:pPr>
              <w:spacing w:after="0"/>
              <w:rPr>
                <w:sz w:val="1"/>
                <w:szCs w:val="1"/>
                <w:color w:val="auto"/>
              </w:rPr>
            </w:pPr>
          </w:p>
        </w:tc>
      </w:tr>
      <w:tr>
        <w:trPr>
          <w:trHeight w:val="193"/>
        </w:trPr>
        <w:tc>
          <w:tcPr>
            <w:tcW w:w="7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ind w:left="491"/>
              <w:spacing w:after="0" w:line="194" w:lineRule="exact"/>
              <w:rPr>
                <w:sz w:val="20"/>
                <w:szCs w:val="20"/>
                <w:color w:val="auto"/>
              </w:rPr>
            </w:pPr>
            <w:r>
              <w:rPr>
                <w:rFonts w:ascii="Times New Roman" w:cs="Times New Roman" w:eastAsia="Times New Roman" w:hAnsi="Times New Roman"/>
                <w:sz w:val="14"/>
                <w:szCs w:val="14"/>
                <w:color w:val="auto"/>
                <w:w w:val="90"/>
              </w:rPr>
              <w:t xml:space="preserve">12,339 </w:t>
            </w:r>
            <w:r>
              <w:rPr>
                <w:rFonts w:ascii="Times New Roman" w:cs="Times New Roman" w:eastAsia="Times New Roman" w:hAnsi="Times New Roman"/>
                <w:sz w:val="17"/>
                <w:szCs w:val="17"/>
                <w:color w:val="auto"/>
                <w:w w:val="90"/>
                <w:vertAlign w:val="superscript"/>
              </w:rPr>
              <w:t>(2)</w:t>
            </w:r>
          </w:p>
        </w:tc>
        <w:tc>
          <w:tcPr>
            <w:tcW w:w="264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rPr>
              <w:t>291,941</w:t>
            </w:r>
          </w:p>
        </w:tc>
        <w:tc>
          <w:tcPr>
            <w:tcW w:w="0" w:type="dxa"/>
            <w:vAlign w:val="bottom"/>
          </w:tcPr>
          <w:p>
            <w:pPr>
              <w:spacing w:after="0"/>
              <w:rPr>
                <w:sz w:val="1"/>
                <w:szCs w:val="1"/>
                <w:color w:val="auto"/>
              </w:rPr>
            </w:pPr>
          </w:p>
        </w:tc>
      </w:tr>
      <w:tr>
        <w:trPr>
          <w:trHeight w:val="193"/>
        </w:trPr>
        <w:tc>
          <w:tcPr>
            <w:tcW w:w="7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ind w:left="491"/>
              <w:spacing w:after="0" w:line="194" w:lineRule="exact"/>
              <w:rPr>
                <w:sz w:val="20"/>
                <w:szCs w:val="20"/>
                <w:color w:val="auto"/>
              </w:rPr>
            </w:pPr>
            <w:r>
              <w:rPr>
                <w:rFonts w:ascii="Times New Roman" w:cs="Times New Roman" w:eastAsia="Times New Roman" w:hAnsi="Times New Roman"/>
                <w:sz w:val="14"/>
                <w:szCs w:val="14"/>
                <w:color w:val="auto"/>
                <w:w w:val="90"/>
              </w:rPr>
              <w:t xml:space="preserve">22,316 </w:t>
            </w:r>
            <w:r>
              <w:rPr>
                <w:rFonts w:ascii="Times New Roman" w:cs="Times New Roman" w:eastAsia="Times New Roman" w:hAnsi="Times New Roman"/>
                <w:sz w:val="17"/>
                <w:szCs w:val="17"/>
                <w:color w:val="auto"/>
                <w:w w:val="90"/>
                <w:vertAlign w:val="superscript"/>
              </w:rPr>
              <w:t>(3)</w:t>
            </w:r>
          </w:p>
        </w:tc>
        <w:tc>
          <w:tcPr>
            <w:tcW w:w="264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rPr>
              <w:t>537,369</w:t>
            </w:r>
          </w:p>
        </w:tc>
        <w:tc>
          <w:tcPr>
            <w:tcW w:w="0" w:type="dxa"/>
            <w:vAlign w:val="bottom"/>
          </w:tcPr>
          <w:p>
            <w:pPr>
              <w:spacing w:after="0"/>
              <w:rPr>
                <w:sz w:val="1"/>
                <w:szCs w:val="1"/>
                <w:color w:val="auto"/>
              </w:rPr>
            </w:pPr>
          </w:p>
        </w:tc>
      </w:tr>
      <w:tr>
        <w:trPr>
          <w:trHeight w:val="206"/>
        </w:trPr>
        <w:tc>
          <w:tcPr>
            <w:tcW w:w="7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ind w:left="491"/>
              <w:spacing w:after="0"/>
              <w:rPr>
                <w:sz w:val="20"/>
                <w:szCs w:val="20"/>
                <w:color w:val="auto"/>
              </w:rPr>
            </w:pPr>
            <w:r>
              <w:rPr>
                <w:rFonts w:ascii="Times New Roman" w:cs="Times New Roman" w:eastAsia="Times New Roman" w:hAnsi="Times New Roman"/>
                <w:sz w:val="14"/>
                <w:szCs w:val="14"/>
                <w:color w:val="auto"/>
                <w:w w:val="90"/>
              </w:rPr>
              <w:t xml:space="preserve">18,815 </w:t>
            </w:r>
            <w:r>
              <w:rPr>
                <w:rFonts w:ascii="Times New Roman" w:cs="Times New Roman" w:eastAsia="Times New Roman" w:hAnsi="Times New Roman"/>
                <w:sz w:val="17"/>
                <w:szCs w:val="17"/>
                <w:color w:val="auto"/>
                <w:w w:val="90"/>
                <w:vertAlign w:val="superscript"/>
              </w:rPr>
              <w:t>(4)</w:t>
            </w:r>
          </w:p>
        </w:tc>
        <w:tc>
          <w:tcPr>
            <w:tcW w:w="264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rPr>
              <w:t>463,225</w:t>
            </w:r>
          </w:p>
        </w:tc>
        <w:tc>
          <w:tcPr>
            <w:tcW w:w="0" w:type="dxa"/>
            <w:vAlign w:val="bottom"/>
          </w:tcPr>
          <w:p>
            <w:pPr>
              <w:spacing w:after="0"/>
              <w:rPr>
                <w:sz w:val="1"/>
                <w:szCs w:val="1"/>
                <w:color w:val="auto"/>
              </w:rPr>
            </w:pPr>
          </w:p>
        </w:tc>
      </w:tr>
      <w:tr>
        <w:trPr>
          <w:trHeight w:val="181"/>
        </w:trPr>
        <w:tc>
          <w:tcPr>
            <w:tcW w:w="7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David T. Doherty</w:t>
            </w:r>
          </w:p>
        </w:tc>
        <w:tc>
          <w:tcPr>
            <w:tcW w:w="100" w:type="dxa"/>
            <w:vAlign w:val="bottom"/>
          </w:tcPr>
          <w:p>
            <w:pPr>
              <w:spacing w:after="0"/>
              <w:rPr>
                <w:sz w:val="15"/>
                <w:szCs w:val="15"/>
                <w:color w:val="auto"/>
              </w:rPr>
            </w:pPr>
          </w:p>
        </w:tc>
        <w:tc>
          <w:tcPr>
            <w:tcW w:w="1500" w:type="dxa"/>
            <w:vAlign w:val="bottom"/>
          </w:tcPr>
          <w:p>
            <w:pPr>
              <w:jc w:val="center"/>
              <w:ind w:left="491"/>
              <w:spacing w:after="0" w:line="181" w:lineRule="exact"/>
              <w:rPr>
                <w:sz w:val="20"/>
                <w:szCs w:val="20"/>
                <w:color w:val="auto"/>
              </w:rPr>
            </w:pPr>
            <w:r>
              <w:rPr>
                <w:rFonts w:ascii="Times New Roman" w:cs="Times New Roman" w:eastAsia="Times New Roman" w:hAnsi="Times New Roman"/>
                <w:sz w:val="14"/>
                <w:szCs w:val="14"/>
                <w:color w:val="auto"/>
                <w:w w:val="90"/>
              </w:rPr>
              <w:t xml:space="preserve">26,784 </w:t>
            </w:r>
            <w:r>
              <w:rPr>
                <w:rFonts w:ascii="Times New Roman" w:cs="Times New Roman" w:eastAsia="Times New Roman" w:hAnsi="Times New Roman"/>
                <w:sz w:val="17"/>
                <w:szCs w:val="17"/>
                <w:color w:val="auto"/>
                <w:w w:val="90"/>
                <w:vertAlign w:val="superscript"/>
              </w:rPr>
              <w:t>(5)</w:t>
            </w:r>
          </w:p>
        </w:tc>
        <w:tc>
          <w:tcPr>
            <w:tcW w:w="264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rPr>
              <w:t>689,688</w:t>
            </w:r>
          </w:p>
        </w:tc>
        <w:tc>
          <w:tcPr>
            <w:tcW w:w="0" w:type="dxa"/>
            <w:vAlign w:val="bottom"/>
          </w:tcPr>
          <w:p>
            <w:pPr>
              <w:spacing w:after="0"/>
              <w:rPr>
                <w:sz w:val="1"/>
                <w:szCs w:val="1"/>
                <w:color w:val="auto"/>
              </w:rPr>
            </w:pPr>
          </w:p>
        </w:tc>
      </w:tr>
      <w:tr>
        <w:trPr>
          <w:trHeight w:val="193"/>
        </w:trPr>
        <w:tc>
          <w:tcPr>
            <w:tcW w:w="7000" w:type="dxa"/>
            <w:vAlign w:val="bottom"/>
          </w:tcPr>
          <w:p>
            <w:pPr>
              <w:spacing w:after="0"/>
              <w:rPr>
                <w:sz w:val="16"/>
                <w:szCs w:val="16"/>
                <w:color w:val="auto"/>
              </w:rPr>
            </w:pPr>
          </w:p>
        </w:tc>
        <w:tc>
          <w:tcPr>
            <w:tcW w:w="1600" w:type="dxa"/>
            <w:vAlign w:val="bottom"/>
            <w:gridSpan w:val="2"/>
          </w:tcPr>
          <w:p>
            <w:pPr>
              <w:jc w:val="center"/>
              <w:ind w:left="591"/>
              <w:spacing w:after="0" w:line="194" w:lineRule="exact"/>
              <w:rPr>
                <w:sz w:val="20"/>
                <w:szCs w:val="20"/>
                <w:color w:val="auto"/>
              </w:rPr>
            </w:pPr>
            <w:r>
              <w:rPr>
                <w:rFonts w:ascii="Times New Roman" w:cs="Times New Roman" w:eastAsia="Times New Roman" w:hAnsi="Times New Roman"/>
                <w:sz w:val="14"/>
                <w:szCs w:val="14"/>
                <w:color w:val="auto"/>
                <w:w w:val="95"/>
              </w:rPr>
              <w:t xml:space="preserve">4,464 </w:t>
            </w:r>
            <w:r>
              <w:rPr>
                <w:rFonts w:ascii="Times New Roman" w:cs="Times New Roman" w:eastAsia="Times New Roman" w:hAnsi="Times New Roman"/>
                <w:sz w:val="17"/>
                <w:szCs w:val="17"/>
                <w:color w:val="auto"/>
                <w:w w:val="95"/>
                <w:vertAlign w:val="superscript"/>
              </w:rPr>
              <w:t>(6)</w:t>
            </w:r>
          </w:p>
        </w:tc>
        <w:tc>
          <w:tcPr>
            <w:tcW w:w="2640" w:type="dxa"/>
            <w:vAlign w:val="bottom"/>
          </w:tcPr>
          <w:p>
            <w:pPr>
              <w:jc w:val="center"/>
              <w:ind w:left="491"/>
              <w:spacing w:after="0"/>
              <w:rPr>
                <w:sz w:val="20"/>
                <w:szCs w:val="20"/>
                <w:color w:val="auto"/>
              </w:rPr>
            </w:pPr>
            <w:r>
              <w:rPr>
                <w:rFonts w:ascii="Times New Roman" w:cs="Times New Roman" w:eastAsia="Times New Roman" w:hAnsi="Times New Roman"/>
                <w:sz w:val="14"/>
                <w:szCs w:val="14"/>
                <w:color w:val="auto"/>
                <w:w w:val="96"/>
              </w:rPr>
              <w:t>113,787</w:t>
            </w:r>
          </w:p>
        </w:tc>
        <w:tc>
          <w:tcPr>
            <w:tcW w:w="0" w:type="dxa"/>
            <w:vAlign w:val="bottom"/>
          </w:tcPr>
          <w:p>
            <w:pPr>
              <w:spacing w:after="0"/>
              <w:rPr>
                <w:sz w:val="1"/>
                <w:szCs w:val="1"/>
                <w:color w:val="auto"/>
              </w:rPr>
            </w:pPr>
          </w:p>
        </w:tc>
      </w:tr>
      <w:tr>
        <w:trPr>
          <w:trHeight w:val="193"/>
        </w:trPr>
        <w:tc>
          <w:tcPr>
            <w:tcW w:w="7000" w:type="dxa"/>
            <w:vAlign w:val="bottom"/>
          </w:tcPr>
          <w:p>
            <w:pPr>
              <w:spacing w:after="0"/>
              <w:rPr>
                <w:sz w:val="16"/>
                <w:szCs w:val="16"/>
                <w:color w:val="auto"/>
              </w:rPr>
            </w:pPr>
          </w:p>
        </w:tc>
        <w:tc>
          <w:tcPr>
            <w:tcW w:w="1600" w:type="dxa"/>
            <w:vAlign w:val="bottom"/>
            <w:gridSpan w:val="2"/>
          </w:tcPr>
          <w:p>
            <w:pPr>
              <w:jc w:val="center"/>
              <w:ind w:left="591"/>
              <w:spacing w:after="0" w:line="194" w:lineRule="exact"/>
              <w:rPr>
                <w:sz w:val="20"/>
                <w:szCs w:val="20"/>
                <w:color w:val="auto"/>
              </w:rPr>
            </w:pPr>
            <w:r>
              <w:rPr>
                <w:rFonts w:ascii="Times New Roman" w:cs="Times New Roman" w:eastAsia="Times New Roman" w:hAnsi="Times New Roman"/>
                <w:sz w:val="14"/>
                <w:szCs w:val="14"/>
                <w:color w:val="auto"/>
                <w:w w:val="95"/>
              </w:rPr>
              <w:t xml:space="preserve">7,101 </w:t>
            </w:r>
            <w:r>
              <w:rPr>
                <w:rFonts w:ascii="Times New Roman" w:cs="Times New Roman" w:eastAsia="Times New Roman" w:hAnsi="Times New Roman"/>
                <w:sz w:val="17"/>
                <w:szCs w:val="17"/>
                <w:color w:val="auto"/>
                <w:w w:val="95"/>
                <w:vertAlign w:val="superscript"/>
              </w:rPr>
              <w:t>(3)</w:t>
            </w:r>
          </w:p>
        </w:tc>
        <w:tc>
          <w:tcPr>
            <w:tcW w:w="264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rPr>
              <w:t>170,992</w:t>
            </w:r>
          </w:p>
        </w:tc>
        <w:tc>
          <w:tcPr>
            <w:tcW w:w="0" w:type="dxa"/>
            <w:vAlign w:val="bottom"/>
          </w:tcPr>
          <w:p>
            <w:pPr>
              <w:spacing w:after="0"/>
              <w:rPr>
                <w:sz w:val="1"/>
                <w:szCs w:val="1"/>
                <w:color w:val="auto"/>
              </w:rPr>
            </w:pPr>
          </w:p>
        </w:tc>
      </w:tr>
      <w:tr>
        <w:trPr>
          <w:trHeight w:val="206"/>
        </w:trPr>
        <w:tc>
          <w:tcPr>
            <w:tcW w:w="7000" w:type="dxa"/>
            <w:vAlign w:val="bottom"/>
          </w:tcPr>
          <w:p>
            <w:pPr>
              <w:spacing w:after="0"/>
              <w:rPr>
                <w:sz w:val="17"/>
                <w:szCs w:val="17"/>
                <w:color w:val="auto"/>
              </w:rPr>
            </w:pPr>
          </w:p>
        </w:tc>
        <w:tc>
          <w:tcPr>
            <w:tcW w:w="1600" w:type="dxa"/>
            <w:vAlign w:val="bottom"/>
            <w:gridSpan w:val="2"/>
          </w:tcPr>
          <w:p>
            <w:pPr>
              <w:jc w:val="center"/>
              <w:ind w:left="591"/>
              <w:spacing w:after="0"/>
              <w:rPr>
                <w:sz w:val="20"/>
                <w:szCs w:val="20"/>
                <w:color w:val="auto"/>
              </w:rPr>
            </w:pPr>
            <w:r>
              <w:rPr>
                <w:rFonts w:ascii="Times New Roman" w:cs="Times New Roman" w:eastAsia="Times New Roman" w:hAnsi="Times New Roman"/>
                <w:sz w:val="14"/>
                <w:szCs w:val="14"/>
                <w:color w:val="auto"/>
                <w:w w:val="95"/>
              </w:rPr>
              <w:t xml:space="preserve">8,552 </w:t>
            </w:r>
            <w:r>
              <w:rPr>
                <w:rFonts w:ascii="Times New Roman" w:cs="Times New Roman" w:eastAsia="Times New Roman" w:hAnsi="Times New Roman"/>
                <w:sz w:val="17"/>
                <w:szCs w:val="17"/>
                <w:color w:val="auto"/>
                <w:w w:val="95"/>
                <w:vertAlign w:val="superscript"/>
              </w:rPr>
              <w:t>(4)</w:t>
            </w:r>
          </w:p>
        </w:tc>
        <w:tc>
          <w:tcPr>
            <w:tcW w:w="264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rPr>
              <w:t>210,550</w:t>
            </w:r>
          </w:p>
        </w:tc>
        <w:tc>
          <w:tcPr>
            <w:tcW w:w="0" w:type="dxa"/>
            <w:vAlign w:val="bottom"/>
          </w:tcPr>
          <w:p>
            <w:pPr>
              <w:spacing w:after="0"/>
              <w:rPr>
                <w:sz w:val="1"/>
                <w:szCs w:val="1"/>
                <w:color w:val="auto"/>
              </w:rPr>
            </w:pPr>
          </w:p>
        </w:tc>
      </w:tr>
      <w:tr>
        <w:trPr>
          <w:trHeight w:val="193"/>
        </w:trPr>
        <w:tc>
          <w:tcPr>
            <w:tcW w:w="7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Jennifer B. Baldock</w:t>
            </w:r>
          </w:p>
        </w:tc>
        <w:tc>
          <w:tcPr>
            <w:tcW w:w="1600" w:type="dxa"/>
            <w:vAlign w:val="bottom"/>
            <w:gridSpan w:val="2"/>
            <w:shd w:val="clear" w:color="auto" w:fill="CCEEFF"/>
          </w:tcPr>
          <w:p>
            <w:pPr>
              <w:jc w:val="center"/>
              <w:ind w:left="591"/>
              <w:spacing w:after="0" w:line="194" w:lineRule="exact"/>
              <w:rPr>
                <w:sz w:val="20"/>
                <w:szCs w:val="20"/>
                <w:color w:val="auto"/>
              </w:rPr>
            </w:pPr>
            <w:r>
              <w:rPr>
                <w:rFonts w:ascii="Times New Roman" w:cs="Times New Roman" w:eastAsia="Times New Roman" w:hAnsi="Times New Roman"/>
                <w:sz w:val="14"/>
                <w:szCs w:val="14"/>
                <w:color w:val="auto"/>
                <w:w w:val="90"/>
              </w:rPr>
              <w:t xml:space="preserve">22,209 </w:t>
            </w:r>
            <w:r>
              <w:rPr>
                <w:rFonts w:ascii="Times New Roman" w:cs="Times New Roman" w:eastAsia="Times New Roman" w:hAnsi="Times New Roman"/>
                <w:sz w:val="17"/>
                <w:szCs w:val="17"/>
                <w:color w:val="auto"/>
                <w:w w:val="90"/>
                <w:vertAlign w:val="superscript"/>
              </w:rPr>
              <w:t>(1)</w:t>
            </w:r>
          </w:p>
        </w:tc>
        <w:tc>
          <w:tcPr>
            <w:tcW w:w="264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rPr>
              <w:t>571,882</w:t>
            </w:r>
          </w:p>
        </w:tc>
        <w:tc>
          <w:tcPr>
            <w:tcW w:w="0" w:type="dxa"/>
            <w:vAlign w:val="bottom"/>
          </w:tcPr>
          <w:p>
            <w:pPr>
              <w:spacing w:after="0"/>
              <w:rPr>
                <w:sz w:val="1"/>
                <w:szCs w:val="1"/>
                <w:color w:val="auto"/>
              </w:rPr>
            </w:pPr>
          </w:p>
        </w:tc>
      </w:tr>
      <w:tr>
        <w:trPr>
          <w:trHeight w:val="181"/>
        </w:trPr>
        <w:tc>
          <w:tcPr>
            <w:tcW w:w="7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left="491"/>
              <w:spacing w:after="0" w:line="181" w:lineRule="exact"/>
              <w:rPr>
                <w:sz w:val="20"/>
                <w:szCs w:val="20"/>
                <w:color w:val="auto"/>
              </w:rPr>
            </w:pPr>
            <w:r>
              <w:rPr>
                <w:rFonts w:ascii="Times New Roman" w:cs="Times New Roman" w:eastAsia="Times New Roman" w:hAnsi="Times New Roman"/>
                <w:sz w:val="14"/>
                <w:szCs w:val="14"/>
                <w:color w:val="auto"/>
                <w:w w:val="95"/>
              </w:rPr>
              <w:t xml:space="preserve">2,468 </w:t>
            </w:r>
            <w:r>
              <w:rPr>
                <w:rFonts w:ascii="Times New Roman" w:cs="Times New Roman" w:eastAsia="Times New Roman" w:hAnsi="Times New Roman"/>
                <w:sz w:val="17"/>
                <w:szCs w:val="17"/>
                <w:color w:val="auto"/>
                <w:w w:val="95"/>
                <w:vertAlign w:val="superscript"/>
              </w:rPr>
              <w:t>(2)</w:t>
            </w:r>
          </w:p>
        </w:tc>
        <w:tc>
          <w:tcPr>
            <w:tcW w:w="264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w w:val="98"/>
              </w:rPr>
              <w:t>58,393</w:t>
            </w:r>
          </w:p>
        </w:tc>
        <w:tc>
          <w:tcPr>
            <w:tcW w:w="0" w:type="dxa"/>
            <w:vAlign w:val="bottom"/>
          </w:tcPr>
          <w:p>
            <w:pPr>
              <w:spacing w:after="0"/>
              <w:rPr>
                <w:sz w:val="1"/>
                <w:szCs w:val="1"/>
                <w:color w:val="auto"/>
              </w:rPr>
            </w:pPr>
          </w:p>
        </w:tc>
      </w:tr>
      <w:tr>
        <w:trPr>
          <w:trHeight w:val="193"/>
        </w:trPr>
        <w:tc>
          <w:tcPr>
            <w:tcW w:w="7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ind w:left="491"/>
              <w:spacing w:after="0" w:line="194" w:lineRule="exact"/>
              <w:rPr>
                <w:sz w:val="20"/>
                <w:szCs w:val="20"/>
                <w:color w:val="auto"/>
              </w:rPr>
            </w:pPr>
            <w:r>
              <w:rPr>
                <w:rFonts w:ascii="Times New Roman" w:cs="Times New Roman" w:eastAsia="Times New Roman" w:hAnsi="Times New Roman"/>
                <w:sz w:val="14"/>
                <w:szCs w:val="14"/>
                <w:color w:val="auto"/>
                <w:w w:val="95"/>
              </w:rPr>
              <w:t xml:space="preserve">6,086 </w:t>
            </w:r>
            <w:r>
              <w:rPr>
                <w:rFonts w:ascii="Times New Roman" w:cs="Times New Roman" w:eastAsia="Times New Roman" w:hAnsi="Times New Roman"/>
                <w:sz w:val="17"/>
                <w:szCs w:val="17"/>
                <w:color w:val="auto"/>
                <w:w w:val="95"/>
                <w:vertAlign w:val="superscript"/>
              </w:rPr>
              <w:t>(3)</w:t>
            </w:r>
          </w:p>
        </w:tc>
        <w:tc>
          <w:tcPr>
            <w:tcW w:w="264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rPr>
              <w:t>146,551</w:t>
            </w:r>
          </w:p>
        </w:tc>
        <w:tc>
          <w:tcPr>
            <w:tcW w:w="0" w:type="dxa"/>
            <w:vAlign w:val="bottom"/>
          </w:tcPr>
          <w:p>
            <w:pPr>
              <w:spacing w:after="0"/>
              <w:rPr>
                <w:sz w:val="1"/>
                <w:szCs w:val="1"/>
                <w:color w:val="auto"/>
              </w:rPr>
            </w:pPr>
          </w:p>
        </w:tc>
      </w:tr>
      <w:tr>
        <w:trPr>
          <w:trHeight w:val="206"/>
        </w:trPr>
        <w:tc>
          <w:tcPr>
            <w:tcW w:w="7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ind w:left="491"/>
              <w:spacing w:after="0"/>
              <w:rPr>
                <w:sz w:val="20"/>
                <w:szCs w:val="20"/>
                <w:color w:val="auto"/>
              </w:rPr>
            </w:pPr>
            <w:r>
              <w:rPr>
                <w:rFonts w:ascii="Times New Roman" w:cs="Times New Roman" w:eastAsia="Times New Roman" w:hAnsi="Times New Roman"/>
                <w:sz w:val="14"/>
                <w:szCs w:val="14"/>
                <w:color w:val="auto"/>
                <w:w w:val="95"/>
              </w:rPr>
              <w:t xml:space="preserve">6,414 </w:t>
            </w:r>
            <w:r>
              <w:rPr>
                <w:rFonts w:ascii="Times New Roman" w:cs="Times New Roman" w:eastAsia="Times New Roman" w:hAnsi="Times New Roman"/>
                <w:sz w:val="17"/>
                <w:szCs w:val="17"/>
                <w:color w:val="auto"/>
                <w:w w:val="95"/>
                <w:vertAlign w:val="superscript"/>
              </w:rPr>
              <w:t>(4)</w:t>
            </w:r>
          </w:p>
        </w:tc>
        <w:tc>
          <w:tcPr>
            <w:tcW w:w="264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rPr>
              <w:t>157,913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1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0000FF"/>
                <w:w w:val="95"/>
              </w:rPr>
              <w:t>Table of Contents</w:t>
            </w:r>
          </w:p>
        </w:tc>
        <w:tc>
          <w:tcPr>
            <w:tcW w:w="59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922"/>
        </w:trPr>
        <w:tc>
          <w:tcPr>
            <w:tcW w:w="7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Marissa A. Brittenham</w:t>
            </w:r>
          </w:p>
        </w:tc>
        <w:tc>
          <w:tcPr>
            <w:tcW w:w="2160" w:type="dxa"/>
            <w:vAlign w:val="bottom"/>
          </w:tcPr>
          <w:p>
            <w:pPr>
              <w:jc w:val="center"/>
              <w:ind w:left="37"/>
              <w:spacing w:after="0"/>
              <w:rPr>
                <w:sz w:val="20"/>
                <w:szCs w:val="20"/>
                <w:color w:val="auto"/>
              </w:rPr>
            </w:pPr>
            <w:r>
              <w:rPr>
                <w:rFonts w:ascii="Times New Roman" w:cs="Times New Roman" w:eastAsia="Times New Roman" w:hAnsi="Times New Roman"/>
                <w:sz w:val="14"/>
                <w:szCs w:val="14"/>
                <w:color w:val="auto"/>
                <w:w w:val="90"/>
              </w:rPr>
              <w:t xml:space="preserve">25,110 </w:t>
            </w:r>
            <w:r>
              <w:rPr>
                <w:rFonts w:ascii="Times New Roman" w:cs="Times New Roman" w:eastAsia="Times New Roman" w:hAnsi="Times New Roman"/>
                <w:sz w:val="17"/>
                <w:szCs w:val="17"/>
                <w:color w:val="auto"/>
                <w:w w:val="90"/>
                <w:vertAlign w:val="superscript"/>
              </w:rPr>
              <w:t>(5)</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646,583</w:t>
            </w:r>
          </w:p>
        </w:tc>
      </w:tr>
      <w:tr>
        <w:trPr>
          <w:trHeight w:val="193"/>
        </w:trPr>
        <w:tc>
          <w:tcPr>
            <w:tcW w:w="10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160" w:type="dxa"/>
            <w:vAlign w:val="bottom"/>
          </w:tcPr>
          <w:p>
            <w:pPr>
              <w:jc w:val="center"/>
              <w:ind w:left="37"/>
              <w:spacing w:after="0" w:line="194" w:lineRule="exact"/>
              <w:rPr>
                <w:sz w:val="20"/>
                <w:szCs w:val="20"/>
                <w:color w:val="auto"/>
              </w:rPr>
            </w:pPr>
            <w:r>
              <w:rPr>
                <w:rFonts w:ascii="Times New Roman" w:cs="Times New Roman" w:eastAsia="Times New Roman" w:hAnsi="Times New Roman"/>
                <w:sz w:val="14"/>
                <w:szCs w:val="14"/>
                <w:color w:val="auto"/>
                <w:w w:val="95"/>
              </w:rPr>
              <w:t xml:space="preserve">3,534 </w:t>
            </w:r>
            <w:r>
              <w:rPr>
                <w:rFonts w:ascii="Times New Roman" w:cs="Times New Roman" w:eastAsia="Times New Roman" w:hAnsi="Times New Roman"/>
                <w:sz w:val="17"/>
                <w:szCs w:val="17"/>
                <w:color w:val="auto"/>
                <w:w w:val="95"/>
                <w:vertAlign w:val="superscript"/>
              </w:rPr>
              <w:t>(6)</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90,082</w:t>
            </w:r>
          </w:p>
        </w:tc>
      </w:tr>
      <w:tr>
        <w:trPr>
          <w:trHeight w:val="193"/>
        </w:trPr>
        <w:tc>
          <w:tcPr>
            <w:tcW w:w="10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160" w:type="dxa"/>
            <w:vAlign w:val="bottom"/>
          </w:tcPr>
          <w:p>
            <w:pPr>
              <w:jc w:val="center"/>
              <w:ind w:left="37"/>
              <w:spacing w:after="0" w:line="194" w:lineRule="exact"/>
              <w:rPr>
                <w:sz w:val="20"/>
                <w:szCs w:val="20"/>
                <w:color w:val="auto"/>
              </w:rPr>
            </w:pPr>
            <w:r>
              <w:rPr>
                <w:rFonts w:ascii="Times New Roman" w:cs="Times New Roman" w:eastAsia="Times New Roman" w:hAnsi="Times New Roman"/>
                <w:sz w:val="14"/>
                <w:szCs w:val="14"/>
                <w:color w:val="auto"/>
                <w:w w:val="95"/>
              </w:rPr>
              <w:t xml:space="preserve">2,536 </w:t>
            </w:r>
            <w:r>
              <w:rPr>
                <w:rFonts w:ascii="Times New Roman" w:cs="Times New Roman" w:eastAsia="Times New Roman" w:hAnsi="Times New Roman"/>
                <w:sz w:val="17"/>
                <w:szCs w:val="17"/>
                <w:color w:val="auto"/>
                <w:w w:val="95"/>
                <w:vertAlign w:val="superscript"/>
              </w:rPr>
              <w:t>(3)</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61,067</w:t>
            </w:r>
          </w:p>
        </w:tc>
      </w:tr>
      <w:tr>
        <w:trPr>
          <w:trHeight w:val="193"/>
        </w:trPr>
        <w:tc>
          <w:tcPr>
            <w:tcW w:w="10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160" w:type="dxa"/>
            <w:vAlign w:val="bottom"/>
          </w:tcPr>
          <w:p>
            <w:pPr>
              <w:jc w:val="center"/>
              <w:ind w:left="37"/>
              <w:spacing w:after="0" w:line="194" w:lineRule="exact"/>
              <w:rPr>
                <w:sz w:val="20"/>
                <w:szCs w:val="20"/>
                <w:color w:val="auto"/>
              </w:rPr>
            </w:pPr>
            <w:r>
              <w:rPr>
                <w:rFonts w:ascii="Times New Roman" w:cs="Times New Roman" w:eastAsia="Times New Roman" w:hAnsi="Times New Roman"/>
                <w:sz w:val="14"/>
                <w:szCs w:val="14"/>
                <w:color w:val="auto"/>
                <w:w w:val="95"/>
              </w:rPr>
              <w:t xml:space="preserve">1,443 </w:t>
            </w:r>
            <w:r>
              <w:rPr>
                <w:rFonts w:ascii="Times New Roman" w:cs="Times New Roman" w:eastAsia="Times New Roman" w:hAnsi="Times New Roman"/>
                <w:sz w:val="17"/>
                <w:szCs w:val="17"/>
                <w:color w:val="auto"/>
                <w:w w:val="95"/>
                <w:vertAlign w:val="superscript"/>
              </w:rPr>
              <w:t>(9)</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35,527</w:t>
            </w:r>
          </w:p>
        </w:tc>
      </w:tr>
      <w:tr>
        <w:trPr>
          <w:trHeight w:val="206"/>
        </w:trPr>
        <w:tc>
          <w:tcPr>
            <w:tcW w:w="10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160" w:type="dxa"/>
            <w:vAlign w:val="bottom"/>
          </w:tcPr>
          <w:p>
            <w:pPr>
              <w:jc w:val="center"/>
              <w:ind w:left="37"/>
              <w:spacing w:after="0"/>
              <w:rPr>
                <w:sz w:val="20"/>
                <w:szCs w:val="20"/>
                <w:color w:val="auto"/>
              </w:rPr>
            </w:pPr>
            <w:r>
              <w:rPr>
                <w:rFonts w:ascii="Times New Roman" w:cs="Times New Roman" w:eastAsia="Times New Roman" w:hAnsi="Times New Roman"/>
                <w:sz w:val="14"/>
                <w:szCs w:val="14"/>
                <w:color w:val="auto"/>
                <w:w w:val="95"/>
              </w:rPr>
              <w:t xml:space="preserve">2,565 </w:t>
            </w:r>
            <w:r>
              <w:rPr>
                <w:rFonts w:ascii="Times New Roman" w:cs="Times New Roman" w:eastAsia="Times New Roman" w:hAnsi="Times New Roman"/>
                <w:sz w:val="17"/>
                <w:szCs w:val="17"/>
                <w:color w:val="auto"/>
                <w:w w:val="95"/>
                <w:vertAlign w:val="superscript"/>
              </w:rPr>
              <w:t>(4)</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63,150</w:t>
            </w:r>
          </w:p>
        </w:tc>
      </w:tr>
      <w:tr>
        <w:trPr>
          <w:trHeight w:val="181"/>
        </w:trPr>
        <w:tc>
          <w:tcPr>
            <w:tcW w:w="7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 Trent Webb</w:t>
            </w:r>
          </w:p>
        </w:tc>
        <w:tc>
          <w:tcPr>
            <w:tcW w:w="2160" w:type="dxa"/>
            <w:vAlign w:val="bottom"/>
            <w:shd w:val="clear" w:color="auto" w:fill="CCEEFF"/>
          </w:tcPr>
          <w:p>
            <w:pPr>
              <w:jc w:val="center"/>
              <w:ind w:left="37"/>
              <w:spacing w:after="0" w:line="182" w:lineRule="exact"/>
              <w:rPr>
                <w:sz w:val="20"/>
                <w:szCs w:val="20"/>
                <w:color w:val="auto"/>
              </w:rPr>
            </w:pPr>
            <w:r>
              <w:rPr>
                <w:rFonts w:ascii="Times New Roman" w:cs="Times New Roman" w:eastAsia="Times New Roman" w:hAnsi="Times New Roman"/>
                <w:sz w:val="21"/>
                <w:szCs w:val="21"/>
                <w:color w:val="auto"/>
                <w:vertAlign w:val="subscript"/>
              </w:rPr>
              <w:t>856</w:t>
            </w:r>
            <w:r>
              <w:rPr>
                <w:rFonts w:ascii="Times New Roman" w:cs="Times New Roman" w:eastAsia="Times New Roman" w:hAnsi="Times New Roman"/>
                <w:sz w:val="8"/>
                <w:szCs w:val="8"/>
                <w:color w:val="auto"/>
              </w:rPr>
              <w:t xml:space="preserve"> (11)</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22,042</w:t>
            </w:r>
          </w:p>
        </w:tc>
      </w:tr>
      <w:tr>
        <w:trPr>
          <w:trHeight w:val="193"/>
        </w:trPr>
        <w:tc>
          <w:tcPr>
            <w:tcW w:w="104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ind w:left="37"/>
              <w:spacing w:after="0" w:line="193" w:lineRule="exact"/>
              <w:rPr>
                <w:sz w:val="20"/>
                <w:szCs w:val="20"/>
                <w:color w:val="auto"/>
              </w:rPr>
            </w:pPr>
            <w:r>
              <w:rPr>
                <w:rFonts w:ascii="Times New Roman" w:cs="Times New Roman" w:eastAsia="Times New Roman" w:hAnsi="Times New Roman"/>
                <w:sz w:val="22"/>
                <w:szCs w:val="22"/>
                <w:color w:val="auto"/>
                <w:vertAlign w:val="subscript"/>
              </w:rPr>
              <w:t>571</w:t>
            </w:r>
            <w:r>
              <w:rPr>
                <w:rFonts w:ascii="Times New Roman" w:cs="Times New Roman" w:eastAsia="Times New Roman" w:hAnsi="Times New Roman"/>
                <w:sz w:val="8"/>
                <w:szCs w:val="8"/>
                <w:color w:val="auto"/>
              </w:rPr>
              <w:t xml:space="preserve"> (12)</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13,510</w:t>
            </w:r>
          </w:p>
        </w:tc>
      </w:tr>
      <w:tr>
        <w:trPr>
          <w:trHeight w:val="193"/>
        </w:trPr>
        <w:tc>
          <w:tcPr>
            <w:tcW w:w="104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ind w:left="37"/>
              <w:spacing w:after="0" w:line="194" w:lineRule="exact"/>
              <w:rPr>
                <w:sz w:val="20"/>
                <w:szCs w:val="20"/>
                <w:color w:val="auto"/>
              </w:rPr>
            </w:pPr>
            <w:r>
              <w:rPr>
                <w:rFonts w:ascii="Times New Roman" w:cs="Times New Roman" w:eastAsia="Times New Roman" w:hAnsi="Times New Roman"/>
                <w:sz w:val="14"/>
                <w:szCs w:val="14"/>
                <w:color w:val="auto"/>
                <w:w w:val="92"/>
              </w:rPr>
              <w:t xml:space="preserve">1,014 </w:t>
            </w:r>
            <w:r>
              <w:rPr>
                <w:rFonts w:ascii="Times New Roman" w:cs="Times New Roman" w:eastAsia="Times New Roman" w:hAnsi="Times New Roman"/>
                <w:sz w:val="17"/>
                <w:szCs w:val="17"/>
                <w:color w:val="auto"/>
                <w:w w:val="92"/>
                <w:vertAlign w:val="superscript"/>
              </w:rPr>
              <w:t>(13)</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24,417</w:t>
            </w:r>
          </w:p>
        </w:tc>
      </w:tr>
      <w:tr>
        <w:trPr>
          <w:trHeight w:val="193"/>
        </w:trPr>
        <w:tc>
          <w:tcPr>
            <w:tcW w:w="104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ind w:left="37"/>
              <w:spacing w:after="0" w:line="194" w:lineRule="exact"/>
              <w:rPr>
                <w:sz w:val="20"/>
                <w:szCs w:val="20"/>
                <w:color w:val="auto"/>
              </w:rPr>
            </w:pPr>
            <w:r>
              <w:rPr>
                <w:rFonts w:ascii="Times New Roman" w:cs="Times New Roman" w:eastAsia="Times New Roman" w:hAnsi="Times New Roman"/>
                <w:sz w:val="14"/>
                <w:szCs w:val="14"/>
                <w:color w:val="auto"/>
                <w:w w:val="92"/>
              </w:rPr>
              <w:t xml:space="preserve">1,521 </w:t>
            </w:r>
            <w:r>
              <w:rPr>
                <w:rFonts w:ascii="Times New Roman" w:cs="Times New Roman" w:eastAsia="Times New Roman" w:hAnsi="Times New Roman"/>
                <w:sz w:val="17"/>
                <w:szCs w:val="17"/>
                <w:color w:val="auto"/>
                <w:w w:val="92"/>
                <w:vertAlign w:val="superscript"/>
              </w:rPr>
              <w:t>(14)</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37,447</w:t>
            </w:r>
          </w:p>
        </w:tc>
      </w:tr>
      <w:tr>
        <w:trPr>
          <w:trHeight w:val="193"/>
        </w:trPr>
        <w:tc>
          <w:tcPr>
            <w:tcW w:w="104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ind w:left="37"/>
              <w:spacing w:after="0" w:line="194" w:lineRule="exact"/>
              <w:rPr>
                <w:sz w:val="20"/>
                <w:szCs w:val="20"/>
                <w:color w:val="auto"/>
              </w:rPr>
            </w:pPr>
            <w:r>
              <w:rPr>
                <w:rFonts w:ascii="Times New Roman" w:cs="Times New Roman" w:eastAsia="Times New Roman" w:hAnsi="Times New Roman"/>
                <w:sz w:val="14"/>
                <w:szCs w:val="14"/>
                <w:color w:val="auto"/>
                <w:w w:val="92"/>
              </w:rPr>
              <w:t xml:space="preserve">3,043 </w:t>
            </w:r>
            <w:r>
              <w:rPr>
                <w:rFonts w:ascii="Times New Roman" w:cs="Times New Roman" w:eastAsia="Times New Roman" w:hAnsi="Times New Roman"/>
                <w:sz w:val="17"/>
                <w:szCs w:val="17"/>
                <w:color w:val="auto"/>
                <w:w w:val="92"/>
                <w:vertAlign w:val="superscript"/>
              </w:rPr>
              <w:t>(15)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73,275</w:t>
            </w:r>
          </w:p>
        </w:tc>
      </w:tr>
      <w:tr>
        <w:trPr>
          <w:trHeight w:val="193"/>
        </w:trPr>
        <w:tc>
          <w:tcPr>
            <w:tcW w:w="104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ind w:left="37"/>
              <w:spacing w:after="0" w:line="194" w:lineRule="exact"/>
              <w:rPr>
                <w:sz w:val="20"/>
                <w:szCs w:val="20"/>
                <w:color w:val="auto"/>
              </w:rPr>
            </w:pPr>
            <w:r>
              <w:rPr>
                <w:rFonts w:ascii="Times New Roman" w:cs="Times New Roman" w:eastAsia="Times New Roman" w:hAnsi="Times New Roman"/>
                <w:sz w:val="14"/>
                <w:szCs w:val="14"/>
                <w:color w:val="auto"/>
                <w:w w:val="90"/>
              </w:rPr>
              <w:t xml:space="preserve">561 </w:t>
            </w:r>
            <w:r>
              <w:rPr>
                <w:rFonts w:ascii="Times New Roman" w:cs="Times New Roman" w:eastAsia="Times New Roman" w:hAnsi="Times New Roman"/>
                <w:sz w:val="17"/>
                <w:szCs w:val="17"/>
                <w:color w:val="auto"/>
                <w:w w:val="90"/>
                <w:vertAlign w:val="superscript"/>
              </w:rPr>
              <w:t>(9)</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13,812</w:t>
            </w:r>
          </w:p>
        </w:tc>
      </w:tr>
      <w:tr>
        <w:trPr>
          <w:trHeight w:val="193"/>
        </w:trPr>
        <w:tc>
          <w:tcPr>
            <w:tcW w:w="104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ind w:left="37"/>
              <w:spacing w:after="0" w:line="194" w:lineRule="exact"/>
              <w:rPr>
                <w:sz w:val="20"/>
                <w:szCs w:val="20"/>
                <w:color w:val="auto"/>
              </w:rPr>
            </w:pPr>
            <w:r>
              <w:rPr>
                <w:rFonts w:ascii="Times New Roman" w:cs="Times New Roman" w:eastAsia="Times New Roman" w:hAnsi="Times New Roman"/>
                <w:sz w:val="14"/>
                <w:szCs w:val="14"/>
                <w:color w:val="auto"/>
                <w:w w:val="95"/>
              </w:rPr>
              <w:t xml:space="preserve">1,068 </w:t>
            </w:r>
            <w:r>
              <w:rPr>
                <w:rFonts w:ascii="Times New Roman" w:cs="Times New Roman" w:eastAsia="Times New Roman" w:hAnsi="Times New Roman"/>
                <w:sz w:val="17"/>
                <w:szCs w:val="17"/>
                <w:color w:val="auto"/>
                <w:w w:val="95"/>
                <w:vertAlign w:val="superscript"/>
              </w:rPr>
              <w:t>(4)</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26,294</w:t>
            </w:r>
          </w:p>
        </w:tc>
      </w:tr>
      <w:tr>
        <w:trPr>
          <w:trHeight w:val="206"/>
        </w:trPr>
        <w:tc>
          <w:tcPr>
            <w:tcW w:w="104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2160" w:type="dxa"/>
            <w:vAlign w:val="bottom"/>
            <w:shd w:val="clear" w:color="auto" w:fill="CCEEFF"/>
          </w:tcPr>
          <w:p>
            <w:pPr>
              <w:jc w:val="center"/>
              <w:ind w:left="37"/>
              <w:spacing w:after="0" w:line="205" w:lineRule="exact"/>
              <w:rPr>
                <w:sz w:val="20"/>
                <w:szCs w:val="20"/>
                <w:color w:val="auto"/>
              </w:rPr>
            </w:pPr>
            <w:r>
              <w:rPr>
                <w:rFonts w:ascii="Times New Roman" w:cs="Times New Roman" w:eastAsia="Times New Roman" w:hAnsi="Times New Roman"/>
                <w:sz w:val="23"/>
                <w:szCs w:val="23"/>
                <w:color w:val="auto"/>
                <w:w w:val="99"/>
                <w:vertAlign w:val="subscript"/>
              </w:rPr>
              <w:t>625</w:t>
            </w:r>
            <w:r>
              <w:rPr>
                <w:rFonts w:ascii="Times New Roman" w:cs="Times New Roman" w:eastAsia="Times New Roman" w:hAnsi="Times New Roman"/>
                <w:sz w:val="8"/>
                <w:szCs w:val="8"/>
                <w:color w:val="auto"/>
                <w:w w:val="99"/>
              </w:rPr>
              <w:t xml:space="preserve"> (10)</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15,388</w:t>
            </w:r>
          </w:p>
        </w:tc>
      </w:tr>
      <w:tr>
        <w:trPr>
          <w:trHeight w:val="181"/>
        </w:trPr>
        <w:tc>
          <w:tcPr>
            <w:tcW w:w="7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Harrison R. Bane</w:t>
            </w:r>
          </w:p>
        </w:tc>
        <w:tc>
          <w:tcPr>
            <w:tcW w:w="2160" w:type="dxa"/>
            <w:vAlign w:val="bottom"/>
          </w:tcPr>
          <w:p>
            <w:pPr>
              <w:jc w:val="center"/>
              <w:ind w:left="37"/>
              <w:spacing w:after="0" w:line="181" w:lineRule="exact"/>
              <w:rPr>
                <w:sz w:val="20"/>
                <w:szCs w:val="20"/>
                <w:color w:val="auto"/>
              </w:rPr>
            </w:pPr>
            <w:r>
              <w:rPr>
                <w:rFonts w:ascii="Times New Roman" w:cs="Times New Roman" w:eastAsia="Times New Roman" w:hAnsi="Times New Roman"/>
                <w:sz w:val="14"/>
                <w:szCs w:val="14"/>
                <w:color w:val="auto"/>
                <w:w w:val="93"/>
              </w:rPr>
              <w:t xml:space="preserve">115,116 </w:t>
            </w:r>
            <w:r>
              <w:rPr>
                <w:rFonts w:ascii="Times New Roman" w:cs="Times New Roman" w:eastAsia="Times New Roman" w:hAnsi="Times New Roman"/>
                <w:sz w:val="17"/>
                <w:szCs w:val="17"/>
                <w:color w:val="auto"/>
                <w:w w:val="93"/>
                <w:vertAlign w:val="superscript"/>
              </w:rPr>
              <w:t>(7)</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2,964,237</w:t>
            </w:r>
          </w:p>
        </w:tc>
      </w:tr>
      <w:tr>
        <w:trPr>
          <w:trHeight w:val="193"/>
        </w:trPr>
        <w:tc>
          <w:tcPr>
            <w:tcW w:w="10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160" w:type="dxa"/>
            <w:vAlign w:val="bottom"/>
          </w:tcPr>
          <w:p>
            <w:pPr>
              <w:jc w:val="center"/>
              <w:ind w:left="37"/>
              <w:spacing w:after="0" w:line="194" w:lineRule="exact"/>
              <w:rPr>
                <w:sz w:val="20"/>
                <w:szCs w:val="20"/>
                <w:color w:val="auto"/>
              </w:rPr>
            </w:pPr>
            <w:r>
              <w:rPr>
                <w:rFonts w:ascii="Times New Roman" w:cs="Times New Roman" w:eastAsia="Times New Roman" w:hAnsi="Times New Roman"/>
                <w:sz w:val="14"/>
                <w:szCs w:val="14"/>
                <w:color w:val="auto"/>
                <w:w w:val="90"/>
              </w:rPr>
              <w:t xml:space="preserve">12,791 </w:t>
            </w:r>
            <w:r>
              <w:rPr>
                <w:rFonts w:ascii="Times New Roman" w:cs="Times New Roman" w:eastAsia="Times New Roman" w:hAnsi="Times New Roman"/>
                <w:sz w:val="17"/>
                <w:szCs w:val="17"/>
                <w:color w:val="auto"/>
                <w:w w:val="90"/>
                <w:vertAlign w:val="superscript"/>
              </w:rPr>
              <w:t>(8)</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290,228</w:t>
            </w:r>
          </w:p>
        </w:tc>
      </w:tr>
      <w:tr>
        <w:trPr>
          <w:trHeight w:val="193"/>
        </w:trPr>
        <w:tc>
          <w:tcPr>
            <w:tcW w:w="10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160" w:type="dxa"/>
            <w:vAlign w:val="bottom"/>
          </w:tcPr>
          <w:p>
            <w:pPr>
              <w:jc w:val="center"/>
              <w:ind w:left="37"/>
              <w:spacing w:after="0" w:line="194" w:lineRule="exact"/>
              <w:rPr>
                <w:sz w:val="20"/>
                <w:szCs w:val="20"/>
                <w:color w:val="auto"/>
              </w:rPr>
            </w:pPr>
            <w:r>
              <w:rPr>
                <w:rFonts w:ascii="Times New Roman" w:cs="Times New Roman" w:eastAsia="Times New Roman" w:hAnsi="Times New Roman"/>
                <w:sz w:val="14"/>
                <w:szCs w:val="14"/>
                <w:color w:val="auto"/>
                <w:w w:val="95"/>
              </w:rPr>
              <w:t xml:space="preserve">4,057 </w:t>
            </w:r>
            <w:r>
              <w:rPr>
                <w:rFonts w:ascii="Times New Roman" w:cs="Times New Roman" w:eastAsia="Times New Roman" w:hAnsi="Times New Roman"/>
                <w:sz w:val="17"/>
                <w:szCs w:val="17"/>
                <w:color w:val="auto"/>
                <w:w w:val="95"/>
                <w:vertAlign w:val="superscript"/>
              </w:rPr>
              <w:t>(3)</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97,693</w:t>
            </w:r>
          </w:p>
        </w:tc>
      </w:tr>
      <w:tr>
        <w:trPr>
          <w:trHeight w:val="193"/>
        </w:trPr>
        <w:tc>
          <w:tcPr>
            <w:tcW w:w="10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160" w:type="dxa"/>
            <w:vAlign w:val="bottom"/>
          </w:tcPr>
          <w:p>
            <w:pPr>
              <w:jc w:val="center"/>
              <w:ind w:left="37"/>
              <w:spacing w:after="0" w:line="194" w:lineRule="exact"/>
              <w:rPr>
                <w:sz w:val="20"/>
                <w:szCs w:val="20"/>
                <w:color w:val="auto"/>
              </w:rPr>
            </w:pPr>
            <w:r>
              <w:rPr>
                <w:rFonts w:ascii="Times New Roman" w:cs="Times New Roman" w:eastAsia="Times New Roman" w:hAnsi="Times New Roman"/>
                <w:sz w:val="14"/>
                <w:szCs w:val="14"/>
                <w:color w:val="auto"/>
                <w:w w:val="90"/>
              </w:rPr>
              <w:t xml:space="preserve">721 </w:t>
            </w:r>
            <w:r>
              <w:rPr>
                <w:rFonts w:ascii="Times New Roman" w:cs="Times New Roman" w:eastAsia="Times New Roman" w:hAnsi="Times New Roman"/>
                <w:sz w:val="17"/>
                <w:szCs w:val="17"/>
                <w:color w:val="auto"/>
                <w:w w:val="90"/>
                <w:vertAlign w:val="superscript"/>
              </w:rPr>
              <w:t>(9)</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17,751</w:t>
            </w:r>
          </w:p>
        </w:tc>
      </w:tr>
      <w:tr>
        <w:trPr>
          <w:trHeight w:val="193"/>
        </w:trPr>
        <w:tc>
          <w:tcPr>
            <w:tcW w:w="10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160" w:type="dxa"/>
            <w:vAlign w:val="bottom"/>
          </w:tcPr>
          <w:p>
            <w:pPr>
              <w:jc w:val="center"/>
              <w:ind w:left="37"/>
              <w:spacing w:after="0" w:line="194" w:lineRule="exact"/>
              <w:rPr>
                <w:sz w:val="20"/>
                <w:szCs w:val="20"/>
                <w:color w:val="auto"/>
              </w:rPr>
            </w:pPr>
            <w:r>
              <w:rPr>
                <w:rFonts w:ascii="Times New Roman" w:cs="Times New Roman" w:eastAsia="Times New Roman" w:hAnsi="Times New Roman"/>
                <w:sz w:val="14"/>
                <w:szCs w:val="14"/>
                <w:color w:val="auto"/>
                <w:w w:val="95"/>
              </w:rPr>
              <w:t xml:space="preserve">3,420 </w:t>
            </w:r>
            <w:r>
              <w:rPr>
                <w:rFonts w:ascii="Times New Roman" w:cs="Times New Roman" w:eastAsia="Times New Roman" w:hAnsi="Times New Roman"/>
                <w:sz w:val="17"/>
                <w:szCs w:val="17"/>
                <w:color w:val="auto"/>
                <w:w w:val="95"/>
                <w:vertAlign w:val="superscript"/>
              </w:rPr>
              <w:t>(4)</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84,200</w:t>
            </w:r>
          </w:p>
        </w:tc>
      </w:tr>
      <w:tr>
        <w:trPr>
          <w:trHeight w:val="362"/>
        </w:trPr>
        <w:tc>
          <w:tcPr>
            <w:tcW w:w="10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160" w:type="dxa"/>
            <w:vAlign w:val="bottom"/>
          </w:tcPr>
          <w:p>
            <w:pPr>
              <w:jc w:val="center"/>
              <w:ind w:left="37"/>
              <w:spacing w:after="0"/>
              <w:rPr>
                <w:sz w:val="20"/>
                <w:szCs w:val="20"/>
                <w:color w:val="auto"/>
              </w:rPr>
            </w:pPr>
            <w:r>
              <w:rPr>
                <w:rFonts w:ascii="Times New Roman" w:cs="Times New Roman" w:eastAsia="Times New Roman" w:hAnsi="Times New Roman"/>
                <w:sz w:val="27"/>
                <w:szCs w:val="27"/>
                <w:color w:val="auto"/>
                <w:w w:val="85"/>
                <w:vertAlign w:val="subscript"/>
              </w:rPr>
              <w:t>416</w:t>
            </w:r>
            <w:r>
              <w:rPr>
                <w:rFonts w:ascii="Times New Roman" w:cs="Times New Roman" w:eastAsia="Times New Roman" w:hAnsi="Times New Roman"/>
                <w:sz w:val="9"/>
                <w:szCs w:val="9"/>
                <w:color w:val="auto"/>
                <w:w w:val="85"/>
              </w:rPr>
              <w:t xml:space="preserve"> (10)</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10,242</w:t>
            </w:r>
          </w:p>
        </w:tc>
      </w:tr>
    </w:tbl>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w:t>
      </w:r>
    </w:p>
    <w:p>
      <w:pPr>
        <w:spacing w:after="0" w:line="114" w:lineRule="exact"/>
        <w:rPr>
          <w:sz w:val="20"/>
          <w:szCs w:val="20"/>
          <w:color w:val="auto"/>
        </w:rPr>
      </w:pPr>
    </w:p>
    <w:p>
      <w:pPr>
        <w:ind w:left="320" w:right="500" w:hanging="317"/>
        <w:spacing w:after="0" w:line="269" w:lineRule="auto"/>
        <w:tabs>
          <w:tab w:leader="none" w:pos="3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PSUs granted on March 11, 2022 that became earned and immediately vested as of January 31, 2025. The PSUs were earned at 300% of the original award value. The closing price per share of our common stock on January 30, 2025 (the last trading date prior to the vesting date) was $25.75.</w:t>
      </w:r>
    </w:p>
    <w:p>
      <w:pPr>
        <w:ind w:left="320" w:right="260" w:hanging="317"/>
        <w:spacing w:after="0" w:line="276" w:lineRule="auto"/>
        <w:tabs>
          <w:tab w:leader="none" w:pos="3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one-third of the award of restricted stock granted on March 11, 2022 that vested on March 11, 2025. The closing price per share of our common stock on March 10, 2025 (the last trading date prior to the vesting date) was $23.66.</w:t>
      </w:r>
    </w:p>
    <w:p>
      <w:pPr>
        <w:spacing w:after="0" w:line="1" w:lineRule="exact"/>
        <w:rPr>
          <w:rFonts w:ascii="Times New Roman" w:cs="Times New Roman" w:eastAsia="Times New Roman" w:hAnsi="Times New Roman"/>
          <w:sz w:val="17"/>
          <w:szCs w:val="17"/>
          <w:color w:val="auto"/>
        </w:rPr>
      </w:pPr>
    </w:p>
    <w:p>
      <w:pPr>
        <w:ind w:left="320" w:hanging="317"/>
        <w:spacing w:after="0" w:line="271" w:lineRule="auto"/>
        <w:tabs>
          <w:tab w:leader="none" w:pos="3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one-third of the award of restricted stock granted on March 2, 2023 that vested on March 2, 2025. The closing price per share of our common stock on February 28, 2025 (the last trading date prior to the vesting date) was $24.08.</w:t>
      </w:r>
    </w:p>
    <w:p>
      <w:pPr>
        <w:spacing w:after="0" w:line="9" w:lineRule="exact"/>
        <w:rPr>
          <w:rFonts w:ascii="Times New Roman" w:cs="Times New Roman" w:eastAsia="Times New Roman" w:hAnsi="Times New Roman"/>
          <w:sz w:val="17"/>
          <w:szCs w:val="17"/>
          <w:color w:val="auto"/>
        </w:rPr>
      </w:pPr>
    </w:p>
    <w:p>
      <w:pPr>
        <w:ind w:left="320" w:right="540" w:hanging="317"/>
        <w:spacing w:after="0" w:line="269" w:lineRule="auto"/>
        <w:tabs>
          <w:tab w:leader="none" w:pos="3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one-third of the award of restricted stock granted on February 28, 2024 that vested on February 28, 2025. The closing price per share of our common stock on February 27, 2025 (the last trading date prior to the vesting date) was $24.62.</w:t>
      </w:r>
    </w:p>
    <w:p>
      <w:pPr>
        <w:ind w:left="320" w:right="420" w:hanging="317"/>
        <w:spacing w:after="0" w:line="276" w:lineRule="auto"/>
        <w:tabs>
          <w:tab w:leader="none" w:pos="3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PSUs granted on February 1, 2022 that became earned and immediately vested as of January 31, 2025. The PSUs were earned at 300% of the original award value. The closing price per share of our common stock on January 30, 2025 (the last trading date prior to the vesting date) was $25.75.</w:t>
      </w:r>
    </w:p>
    <w:p>
      <w:pPr>
        <w:spacing w:after="0" w:line="1" w:lineRule="exact"/>
        <w:rPr>
          <w:rFonts w:ascii="Times New Roman" w:cs="Times New Roman" w:eastAsia="Times New Roman" w:hAnsi="Times New Roman"/>
          <w:sz w:val="17"/>
          <w:szCs w:val="17"/>
          <w:color w:val="auto"/>
        </w:rPr>
      </w:pPr>
    </w:p>
    <w:p>
      <w:pPr>
        <w:ind w:left="320" w:right="60" w:hanging="317"/>
        <w:spacing w:after="0" w:line="271" w:lineRule="auto"/>
        <w:tabs>
          <w:tab w:leader="none" w:pos="3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one-third of the award of restricted stock granted on February 1, 2022 that vested on February 1, 2025. The closing price per share of our common stock on January 31, 2025 (the last trading date prior to the vesting date) was $25.49.</w:t>
      </w:r>
    </w:p>
    <w:p>
      <w:pPr>
        <w:spacing w:after="0" w:line="9" w:lineRule="exact"/>
        <w:rPr>
          <w:rFonts w:ascii="Times New Roman" w:cs="Times New Roman" w:eastAsia="Times New Roman" w:hAnsi="Times New Roman"/>
          <w:sz w:val="17"/>
          <w:szCs w:val="17"/>
          <w:color w:val="auto"/>
        </w:rPr>
      </w:pPr>
    </w:p>
    <w:p>
      <w:pPr>
        <w:ind w:left="320" w:right="300" w:hanging="317"/>
        <w:spacing w:after="0" w:line="269" w:lineRule="auto"/>
        <w:tabs>
          <w:tab w:leader="none" w:pos="3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PSUs granted on September 1, 2022 that became earned and immediately vested as of January 31, 2025. The PSUs were earned at 300% of the original award value. The closing price per share of our common stock on January 30, 2025 (the last trading date prior to the vesting date) was $25.75.</w:t>
      </w:r>
    </w:p>
    <w:p>
      <w:pPr>
        <w:ind w:left="320" w:right="480" w:hanging="317"/>
        <w:spacing w:after="0" w:line="276" w:lineRule="auto"/>
        <w:tabs>
          <w:tab w:leader="none" w:pos="3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one-third of the award of restricted stock granted on September 1, 2022 that vested on September 1, 2025. The closing price per share of our common stock on August 29, 2025 (the last trading date prior to the vesting date) was $22.69.</w:t>
      </w:r>
    </w:p>
    <w:p>
      <w:pPr>
        <w:spacing w:after="0" w:line="1" w:lineRule="exact"/>
        <w:rPr>
          <w:rFonts w:ascii="Times New Roman" w:cs="Times New Roman" w:eastAsia="Times New Roman" w:hAnsi="Times New Roman"/>
          <w:sz w:val="17"/>
          <w:szCs w:val="17"/>
          <w:color w:val="auto"/>
        </w:rPr>
      </w:pPr>
    </w:p>
    <w:p>
      <w:pPr>
        <w:ind w:left="320" w:right="600" w:hanging="317"/>
        <w:spacing w:after="0" w:line="271" w:lineRule="auto"/>
        <w:tabs>
          <w:tab w:leader="none" w:pos="3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one-half of the award of restricted stock granted on February 28, 2024 that vested on February 28, 2025. The closing price per share of our common stock on February 27, 2025 (the last trading date prior to the vesting date) was $24.62.</w:t>
      </w:r>
    </w:p>
    <w:p>
      <w:pPr>
        <w:spacing w:after="0" w:line="9" w:lineRule="exact"/>
        <w:rPr>
          <w:rFonts w:ascii="Times New Roman" w:cs="Times New Roman" w:eastAsia="Times New Roman" w:hAnsi="Times New Roman"/>
          <w:sz w:val="17"/>
          <w:szCs w:val="17"/>
          <w:color w:val="auto"/>
        </w:rPr>
      </w:pPr>
    </w:p>
    <w:p>
      <w:pPr>
        <w:ind w:left="320" w:right="520" w:hanging="317"/>
        <w:spacing w:after="0" w:line="269" w:lineRule="auto"/>
        <w:tabs>
          <w:tab w:leader="none" w:pos="31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one-third of the award of restricted stock granted on September 1, 2024 that vested on February 28, 2025. The closing price per share of our common stock on February 27, 2025 (the last trading date prior to the vesting date) was $24.62.</w:t>
      </w:r>
    </w:p>
    <w:p>
      <w:pPr>
        <w:ind w:left="320" w:right="100" w:hanging="317"/>
        <w:spacing w:after="0" w:line="276" w:lineRule="auto"/>
        <w:tabs>
          <w:tab w:leader="none" w:pos="30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PSUs granted on March 11, 2022 that became earned as of January 31, 2023, and of which one-half vested on January 31, 2025. The closing price per share of our common stock on January 30, 2025 (the last trading date prior to the vesting date) was $25.75.</w:t>
      </w:r>
    </w:p>
    <w:p>
      <w:pPr>
        <w:spacing w:after="0" w:line="1" w:lineRule="exact"/>
        <w:rPr>
          <w:rFonts w:ascii="Times New Roman" w:cs="Times New Roman" w:eastAsia="Times New Roman" w:hAnsi="Times New Roman"/>
          <w:sz w:val="17"/>
          <w:szCs w:val="17"/>
          <w:color w:val="auto"/>
        </w:rPr>
      </w:pPr>
    </w:p>
    <w:p>
      <w:pPr>
        <w:ind w:left="320" w:right="260" w:hanging="317"/>
        <w:spacing w:after="0" w:line="271" w:lineRule="auto"/>
        <w:tabs>
          <w:tab w:leader="none" w:pos="31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one-third of the award of restricted stock granted on March 11, 2022 that vested on March 11, 2025. The closing price per share of our common stock on March 10, 2025 (the last trading date prior to the vesting date) was $23.66.</w:t>
      </w:r>
    </w:p>
    <w:p>
      <w:pPr>
        <w:spacing w:after="0" w:line="9" w:lineRule="exact"/>
        <w:rPr>
          <w:rFonts w:ascii="Times New Roman" w:cs="Times New Roman" w:eastAsia="Times New Roman" w:hAnsi="Times New Roman"/>
          <w:sz w:val="17"/>
          <w:szCs w:val="17"/>
          <w:color w:val="auto"/>
        </w:rPr>
      </w:pPr>
    </w:p>
    <w:p>
      <w:pPr>
        <w:ind w:left="320" w:right="20" w:hanging="317"/>
        <w:spacing w:after="0" w:line="269" w:lineRule="auto"/>
        <w:tabs>
          <w:tab w:leader="none" w:pos="31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one-third of the award of restricted stock granted on March 2, 2023 that vested on March 2, 2025. The closing price per share of our common stock on February 28, 2025 (the last trading date prior to the vesting date) was $24.08.</w:t>
      </w:r>
    </w:p>
    <w:p>
      <w:pPr>
        <w:ind w:left="320" w:hanging="317"/>
        <w:spacing w:after="0" w:line="276" w:lineRule="auto"/>
        <w:tabs>
          <w:tab w:leader="none" w:pos="31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PSUs granted on March 2, 2023 that became earned as of February 28, 2024, and of which one-half vested on February 28, 2025. The closing price per share of our common stock on February 27, 2025 (the last trading date prior to the vesting date) was $24.62.</w:t>
      </w:r>
    </w:p>
    <w:p>
      <w:pPr>
        <w:spacing w:after="0" w:line="1" w:lineRule="exact"/>
        <w:rPr>
          <w:rFonts w:ascii="Times New Roman" w:cs="Times New Roman" w:eastAsia="Times New Roman" w:hAnsi="Times New Roman"/>
          <w:sz w:val="17"/>
          <w:szCs w:val="17"/>
          <w:color w:val="auto"/>
        </w:rPr>
      </w:pPr>
    </w:p>
    <w:p>
      <w:pPr>
        <w:ind w:left="320" w:right="660" w:hanging="317"/>
        <w:spacing w:after="0" w:line="271" w:lineRule="auto"/>
        <w:tabs>
          <w:tab w:leader="none" w:pos="31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award of restricted stock granted on March 2, 2023 that vested on March 2, 2025. The closing price per share of our common stock on February 28, 2025 (the last trading date prior to the vesting date) was $24.08.</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Nonqualified Deferred Compensation</w:t>
      </w:r>
    </w:p>
    <w:p>
      <w:pPr>
        <w:spacing w:after="0" w:line="169" w:lineRule="exact"/>
        <w:rPr>
          <w:sz w:val="20"/>
          <w:szCs w:val="20"/>
          <w:color w:val="auto"/>
        </w:rPr>
      </w:pPr>
    </w:p>
    <w:p>
      <w:pPr>
        <w:ind w:right="820" w:firstLine="309"/>
        <w:spacing w:after="0" w:line="287" w:lineRule="auto"/>
        <w:rPr>
          <w:sz w:val="20"/>
          <w:szCs w:val="20"/>
          <w:color w:val="auto"/>
        </w:rPr>
      </w:pPr>
      <w:r>
        <w:rPr>
          <w:rFonts w:ascii="Times New Roman" w:cs="Times New Roman" w:eastAsia="Times New Roman" w:hAnsi="Times New Roman"/>
          <w:sz w:val="17"/>
          <w:szCs w:val="17"/>
          <w:color w:val="auto"/>
        </w:rPr>
        <w:t>The following table sets forth information regarding the value of accumulated benefits of our NEOs under our nonqualified deferred compensation arrangements as of December 31, 2025.</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100" w:type="dxa"/>
            <w:vAlign w:val="bottom"/>
          </w:tcPr>
          <w:p>
            <w:pPr>
              <w:spacing w:after="0"/>
              <w:rPr>
                <w:sz w:val="17"/>
                <w:szCs w:val="17"/>
                <w:color w:val="auto"/>
              </w:rPr>
            </w:pPr>
          </w:p>
        </w:tc>
        <w:tc>
          <w:tcPr>
            <w:tcW w:w="2080" w:type="dxa"/>
            <w:vAlign w:val="bottom"/>
          </w:tcPr>
          <w:p>
            <w:pPr>
              <w:jc w:val="center"/>
              <w:ind w:left="254"/>
              <w:spacing w:after="0"/>
              <w:rPr>
                <w:sz w:val="20"/>
                <w:szCs w:val="20"/>
                <w:color w:val="auto"/>
              </w:rPr>
            </w:pPr>
            <w:r>
              <w:rPr>
                <w:rFonts w:ascii="Times New Roman" w:cs="Times New Roman" w:eastAsia="Times New Roman" w:hAnsi="Times New Roman"/>
                <w:sz w:val="17"/>
                <w:szCs w:val="17"/>
                <w:b w:val="1"/>
                <w:bCs w:val="1"/>
                <w:color w:val="auto"/>
                <w:w w:val="98"/>
              </w:rPr>
              <w:t>Executive</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19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Aggregate earnings in</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1900" w:type="dxa"/>
            <w:vAlign w:val="bottom"/>
            <w:vMerge w:val="restart"/>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Aggregate balance at</w:t>
            </w:r>
          </w:p>
        </w:tc>
        <w:tc>
          <w:tcPr>
            <w:tcW w:w="0" w:type="dxa"/>
            <w:vAlign w:val="bottom"/>
          </w:tcPr>
          <w:p>
            <w:pPr>
              <w:spacing w:after="0"/>
              <w:rPr>
                <w:sz w:val="1"/>
                <w:szCs w:val="1"/>
                <w:color w:val="auto"/>
              </w:rPr>
            </w:pPr>
          </w:p>
        </w:tc>
      </w:tr>
      <w:tr>
        <w:trPr>
          <w:trHeight w:val="180"/>
        </w:trPr>
        <w:tc>
          <w:tcPr>
            <w:tcW w:w="2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080" w:type="dxa"/>
            <w:vAlign w:val="bottom"/>
          </w:tcPr>
          <w:p>
            <w:pPr>
              <w:jc w:val="center"/>
              <w:ind w:left="254"/>
              <w:spacing w:after="0" w:line="181" w:lineRule="exact"/>
              <w:rPr>
                <w:sz w:val="20"/>
                <w:szCs w:val="20"/>
                <w:color w:val="auto"/>
              </w:rPr>
            </w:pPr>
            <w:r>
              <w:rPr>
                <w:rFonts w:ascii="Times New Roman" w:cs="Times New Roman" w:eastAsia="Times New Roman" w:hAnsi="Times New Roman"/>
                <w:sz w:val="17"/>
                <w:szCs w:val="17"/>
                <w:b w:val="1"/>
                <w:bCs w:val="1"/>
                <w:color w:val="auto"/>
              </w:rPr>
              <w:t>contributions in last</w:t>
            </w:r>
          </w:p>
        </w:tc>
        <w:tc>
          <w:tcPr>
            <w:tcW w:w="17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contributions in last</w:t>
            </w:r>
          </w:p>
        </w:tc>
        <w:tc>
          <w:tcPr>
            <w:tcW w:w="1960" w:type="dxa"/>
            <w:vAlign w:val="bottom"/>
            <w:vMerge w:val="continue"/>
          </w:tcPr>
          <w:p>
            <w:pPr>
              <w:spacing w:after="0"/>
              <w:rPr>
                <w:sz w:val="15"/>
                <w:szCs w:val="15"/>
                <w:color w:val="auto"/>
              </w:rPr>
            </w:pPr>
          </w:p>
        </w:tc>
        <w:tc>
          <w:tcPr>
            <w:tcW w:w="14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w w:val="99"/>
              </w:rPr>
              <w:t>withdrawals/</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100" w:type="dxa"/>
            <w:vAlign w:val="bottom"/>
            <w:tcBorders>
              <w:bottom w:val="single" w:sz="8" w:color="auto"/>
            </w:tcBorders>
            <w:vMerge w:val="continue"/>
          </w:tcPr>
          <w:p>
            <w:pPr>
              <w:spacing w:after="0"/>
              <w:rPr>
                <w:sz w:val="22"/>
                <w:szCs w:val="22"/>
                <w:color w:val="auto"/>
              </w:rPr>
            </w:pPr>
          </w:p>
        </w:tc>
        <w:tc>
          <w:tcPr>
            <w:tcW w:w="208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7"/>
                <w:szCs w:val="17"/>
                <w:b w:val="1"/>
                <w:bCs w:val="1"/>
                <w:color w:val="auto"/>
                <w:w w:val="98"/>
              </w:rPr>
              <w:t xml:space="preserve">fiscal year </w:t>
            </w:r>
            <w:r>
              <w:rPr>
                <w:rFonts w:ascii="Times New Roman" w:cs="Times New Roman" w:eastAsia="Times New Roman" w:hAnsi="Times New Roman"/>
                <w:sz w:val="22"/>
                <w:szCs w:val="22"/>
                <w:b w:val="1"/>
                <w:bCs w:val="1"/>
                <w:color w:val="auto"/>
                <w:w w:val="98"/>
                <w:vertAlign w:val="superscript"/>
              </w:rPr>
              <w:t>(1)</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 xml:space="preserve">fiscal year </w:t>
            </w:r>
            <w:r>
              <w:rPr>
                <w:rFonts w:ascii="Times New Roman" w:cs="Times New Roman" w:eastAsia="Times New Roman" w:hAnsi="Times New Roman"/>
                <w:sz w:val="22"/>
                <w:szCs w:val="22"/>
                <w:b w:val="1"/>
                <w:bCs w:val="1"/>
                <w:color w:val="auto"/>
                <w:w w:val="96"/>
                <w:vertAlign w:val="superscript"/>
              </w:rPr>
              <w:t>(2)</w:t>
            </w:r>
          </w:p>
        </w:tc>
        <w:tc>
          <w:tcPr>
            <w:tcW w:w="19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7"/>
              </w:rPr>
              <w:t xml:space="preserve">last fiscal year </w:t>
            </w:r>
            <w:r>
              <w:rPr>
                <w:rFonts w:ascii="Times New Roman" w:cs="Times New Roman" w:eastAsia="Times New Roman" w:hAnsi="Times New Roman"/>
                <w:sz w:val="22"/>
                <w:szCs w:val="22"/>
                <w:b w:val="1"/>
                <w:bCs w:val="1"/>
                <w:color w:val="auto"/>
                <w:w w:val="97"/>
                <w:vertAlign w:val="superscript"/>
              </w:rPr>
              <w:t>(3)</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distributions</w:t>
            </w:r>
          </w:p>
        </w:tc>
        <w:tc>
          <w:tcPr>
            <w:tcW w:w="190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b w:val="1"/>
                <w:bCs w:val="1"/>
                <w:color w:val="auto"/>
              </w:rPr>
              <w:t>last fiscal year end</w:t>
            </w:r>
          </w:p>
        </w:tc>
        <w:tc>
          <w:tcPr>
            <w:tcW w:w="0" w:type="dxa"/>
            <w:vAlign w:val="bottom"/>
          </w:tcPr>
          <w:p>
            <w:pPr>
              <w:spacing w:after="0"/>
              <w:rPr>
                <w:sz w:val="1"/>
                <w:szCs w:val="1"/>
                <w:color w:val="auto"/>
              </w:rPr>
            </w:pPr>
          </w:p>
        </w:tc>
      </w:tr>
      <w:tr>
        <w:trPr>
          <w:trHeight w:val="231"/>
        </w:trPr>
        <w:tc>
          <w:tcPr>
            <w:tcW w:w="2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J. Eric Evans</w:t>
            </w:r>
          </w:p>
        </w:tc>
        <w:tc>
          <w:tcPr>
            <w:tcW w:w="2080" w:type="dxa"/>
            <w:vAlign w:val="bottom"/>
            <w:tcBorders>
              <w:bottom w:val="single" w:sz="8" w:color="CCEEFF"/>
            </w:tcBorders>
            <w:shd w:val="clear" w:color="auto" w:fill="CCEEFF"/>
          </w:tcPr>
          <w:p>
            <w:pPr>
              <w:jc w:val="center"/>
              <w:ind w:left="254"/>
              <w:spacing w:after="0"/>
              <w:rPr>
                <w:sz w:val="20"/>
                <w:szCs w:val="20"/>
                <w:color w:val="auto"/>
              </w:rPr>
            </w:pPr>
            <w:r>
              <w:rPr>
                <w:rFonts w:ascii="Times New Roman" w:cs="Times New Roman" w:eastAsia="Times New Roman" w:hAnsi="Times New Roman"/>
                <w:sz w:val="17"/>
                <w:szCs w:val="17"/>
                <w:color w:val="auto"/>
                <w:w w:val="97"/>
              </w:rPr>
              <w:t>$83,423</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$10,842</w:t>
            </w:r>
          </w:p>
        </w:tc>
        <w:tc>
          <w:tcPr>
            <w:tcW w:w="1960" w:type="dxa"/>
            <w:vAlign w:val="bottom"/>
            <w:tcBorders>
              <w:bottom w:val="single" w:sz="8" w:color="CCEEFF"/>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$11,520</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Borders>
              <w:bottom w:val="single" w:sz="8" w:color="CCEEFF"/>
            </w:tcBorders>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$125,023</w:t>
            </w:r>
          </w:p>
        </w:tc>
        <w:tc>
          <w:tcPr>
            <w:tcW w:w="0" w:type="dxa"/>
            <w:vAlign w:val="bottom"/>
          </w:tcPr>
          <w:p>
            <w:pPr>
              <w:spacing w:after="0"/>
              <w:rPr>
                <w:sz w:val="1"/>
                <w:szCs w:val="1"/>
                <w:color w:val="auto"/>
              </w:rPr>
            </w:pPr>
          </w:p>
        </w:tc>
      </w:tr>
      <w:tr>
        <w:trPr>
          <w:trHeight w:val="219"/>
        </w:trPr>
        <w:tc>
          <w:tcPr>
            <w:tcW w:w="2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David T. Doherty</w:t>
            </w:r>
          </w:p>
        </w:tc>
        <w:tc>
          <w:tcPr>
            <w:tcW w:w="2080" w:type="dxa"/>
            <w:vAlign w:val="bottom"/>
          </w:tcPr>
          <w:p>
            <w:pPr>
              <w:jc w:val="center"/>
              <w:ind w:left="25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58"/>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Jennifer B. Baldock</w:t>
            </w:r>
          </w:p>
        </w:tc>
        <w:tc>
          <w:tcPr>
            <w:tcW w:w="208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7"/>
                <w:szCs w:val="17"/>
                <w:color w:val="auto"/>
                <w:w w:val="98"/>
              </w:rPr>
              <w:t>12,291</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12,000</w:t>
            </w:r>
          </w:p>
        </w:tc>
        <w:tc>
          <w:tcPr>
            <w:tcW w:w="196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45,556</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372,087</w:t>
            </w:r>
          </w:p>
        </w:tc>
        <w:tc>
          <w:tcPr>
            <w:tcW w:w="0" w:type="dxa"/>
            <w:vAlign w:val="bottom"/>
          </w:tcPr>
          <w:p>
            <w:pPr>
              <w:spacing w:after="0"/>
              <w:rPr>
                <w:sz w:val="1"/>
                <w:szCs w:val="1"/>
                <w:color w:val="auto"/>
              </w:rPr>
            </w:pPr>
          </w:p>
        </w:tc>
      </w:tr>
      <w:tr>
        <w:trPr>
          <w:trHeight w:val="219"/>
        </w:trPr>
        <w:tc>
          <w:tcPr>
            <w:tcW w:w="2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Marissa A. Brittenham</w:t>
            </w:r>
          </w:p>
        </w:tc>
        <w:tc>
          <w:tcPr>
            <w:tcW w:w="2080" w:type="dxa"/>
            <w:vAlign w:val="bottom"/>
          </w:tcPr>
          <w:p>
            <w:pPr>
              <w:jc w:val="center"/>
              <w:ind w:left="25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 Trent Webb</w:t>
            </w:r>
          </w:p>
        </w:tc>
        <w:tc>
          <w:tcPr>
            <w:tcW w:w="208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3"/>
        </w:trPr>
        <w:tc>
          <w:tcPr>
            <w:tcW w:w="2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Harrison R. Bane</w:t>
            </w:r>
          </w:p>
        </w:tc>
        <w:tc>
          <w:tcPr>
            <w:tcW w:w="2080" w:type="dxa"/>
            <w:vAlign w:val="bottom"/>
          </w:tcPr>
          <w:p>
            <w:pPr>
              <w:jc w:val="center"/>
              <w:ind w:left="25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00" w:hanging="297"/>
        <w:spacing w:after="0"/>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contributions by the NEOs to the nonqualified deferred compensation plans during 2025.</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Company contributions to the nonqualified deferred compensation plans on behalf of the NEOs during 2025.</w:t>
      </w:r>
    </w:p>
    <w:p>
      <w:pPr>
        <w:spacing w:after="0" w:line="4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aggregate earnings accrued on the accounts of the NEOs during 2025.</w:t>
      </w:r>
    </w:p>
    <w:p>
      <w:pPr>
        <w:spacing w:after="0" w:line="204" w:lineRule="exact"/>
        <w:rPr>
          <w:sz w:val="20"/>
          <w:szCs w:val="20"/>
          <w:color w:val="auto"/>
        </w:rPr>
      </w:pPr>
    </w:p>
    <w:p>
      <w:pPr>
        <w:jc w:val="both"/>
        <w:ind w:right="280" w:firstLine="309"/>
        <w:spacing w:after="0" w:line="287" w:lineRule="auto"/>
        <w:rPr>
          <w:sz w:val="20"/>
          <w:szCs w:val="20"/>
          <w:color w:val="auto"/>
        </w:rPr>
      </w:pPr>
      <w:r>
        <w:rPr>
          <w:rFonts w:ascii="Times New Roman" w:cs="Times New Roman" w:eastAsia="Times New Roman" w:hAnsi="Times New Roman"/>
          <w:sz w:val="17"/>
          <w:szCs w:val="17"/>
          <w:color w:val="auto"/>
        </w:rPr>
        <w:t>Mr. Evans and Ms. Baldock participate in the NQDC, in which eligible employees are permitted to participate. Under the NQDC, participants may elect to defer up to 50% of annual base salary and up to 90% of bonus each year. Under the NQDC the Company may also make discretionary matching contributions.</w:t>
      </w:r>
    </w:p>
    <w:p>
      <w:pPr>
        <w:spacing w:after="0" w:line="164" w:lineRule="exact"/>
        <w:rPr>
          <w:sz w:val="20"/>
          <w:szCs w:val="20"/>
          <w:color w:val="auto"/>
        </w:rPr>
      </w:pPr>
    </w:p>
    <w:p>
      <w:pPr>
        <w:ind w:firstLine="309"/>
        <w:spacing w:after="0" w:line="250" w:lineRule="auto"/>
        <w:rPr>
          <w:sz w:val="20"/>
          <w:szCs w:val="20"/>
          <w:color w:val="auto"/>
        </w:rPr>
      </w:pPr>
      <w:r>
        <w:rPr>
          <w:rFonts w:ascii="Times New Roman" w:cs="Times New Roman" w:eastAsia="Times New Roman" w:hAnsi="Times New Roman"/>
          <w:sz w:val="17"/>
          <w:szCs w:val="17"/>
          <w:color w:val="auto"/>
        </w:rPr>
        <w:t>Ms. Baldock previously participated in the SERP, a nonqualified deferred compensation plan sponsored by Symbion, which is an unfunded plan available to executives and certain key employees and directors of Symbion, an indirect subsidiary of the Company. Under the SERP, participants were permitted to defer up to 25% of their annual base salary and up to 50% of their bonus each year. Symbion made a matching contribution for each participant who contributed at least 2% of base salary earned during such plan year and who was employed as of the last day of the plan year. Each Symbion contribution was subject to forfeiture for one year following the contribution. Symbion did not provide above-market or preferential earnings on deferred compensation. During 2025, the SERP was discontinued.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Employment Agreement-Related Severance Benefits for our NEOs Employed at the End of 2025</w:t>
      </w:r>
    </w:p>
    <w:p>
      <w:pPr>
        <w:spacing w:after="0" w:line="234" w:lineRule="exact"/>
        <w:rPr>
          <w:sz w:val="20"/>
          <w:szCs w:val="20"/>
          <w:color w:val="auto"/>
        </w:rPr>
      </w:pPr>
    </w:p>
    <w:p>
      <w:pPr>
        <w:ind w:right="40" w:firstLine="309"/>
        <w:spacing w:after="0" w:line="248" w:lineRule="auto"/>
        <w:rPr>
          <w:sz w:val="20"/>
          <w:szCs w:val="20"/>
          <w:color w:val="auto"/>
        </w:rPr>
      </w:pPr>
      <w:r>
        <w:rPr>
          <w:rFonts w:ascii="Times New Roman" w:cs="Times New Roman" w:eastAsia="Times New Roman" w:hAnsi="Times New Roman"/>
          <w:sz w:val="17"/>
          <w:szCs w:val="17"/>
          <w:color w:val="auto"/>
        </w:rPr>
        <w:t>As described above under the heading "Executive Compensation - Narrative Disclosure to Summary Compensation Table and 2025 Grants of Plan-Based Awards Table," we have entered into employment agreements with each of our continuing NEOs, which were amended and restated effective March 8, 2022 (except for Mr. Evans and Mr. Doherty). Each of our NEOs is entitled to receive certain benefits upon a qualifying termination of employment and/or upon certain change in control transactions accompanied by a qualifying termination of employment within a certain period of time following such transaction. The following discussion is based on the employment agreements in effect as of December 31, 2025. The employment agreements provide for severance upon a termination of employment by us without cause or by the executive for good reason, in each case conditioned on the executive's timely and effective execution of a release of claims acceptable to the Company, and other customary terms and conditions.</w:t>
      </w:r>
    </w:p>
    <w:p>
      <w:pPr>
        <w:spacing w:after="0" w:line="210" w:lineRule="exact"/>
        <w:rPr>
          <w:sz w:val="20"/>
          <w:szCs w:val="20"/>
          <w:color w:val="auto"/>
        </w:rPr>
      </w:pPr>
    </w:p>
    <w:p>
      <w:pPr>
        <w:ind w:firstLine="309"/>
        <w:spacing w:after="0" w:line="249" w:lineRule="auto"/>
        <w:rPr>
          <w:sz w:val="20"/>
          <w:szCs w:val="20"/>
          <w:color w:val="auto"/>
        </w:rPr>
      </w:pPr>
      <w:r>
        <w:rPr>
          <w:rFonts w:ascii="Times New Roman" w:cs="Times New Roman" w:eastAsia="Times New Roman" w:hAnsi="Times New Roman"/>
          <w:sz w:val="17"/>
          <w:szCs w:val="17"/>
          <w:color w:val="auto"/>
        </w:rPr>
        <w:t>Each of our NEOs (except Mr. Evans) is entitled to severance consisting of 12 months of continued base salary, an amount equal to their target bonus payable within three months following the end of the fiscal year of termination, and continued health and welfare plan benefits at the same cost to such NEO as if the NEO were an active employee of the Company during the severance period. Under the employment agreements with each of our NEOs, if a qualifying termination occurs within the 90 days prior to or 12 months following a change in control, the executive is entitled to be paid the severance benefits described above in a single lump-sum payment no later than 30 days following termination.</w:t>
      </w:r>
    </w:p>
    <w:p>
      <w:pPr>
        <w:spacing w:after="0" w:line="198" w:lineRule="exact"/>
        <w:rPr>
          <w:sz w:val="20"/>
          <w:szCs w:val="20"/>
          <w:color w:val="auto"/>
        </w:rPr>
      </w:pPr>
    </w:p>
    <w:p>
      <w:pPr>
        <w:ind w:right="140" w:firstLine="309"/>
        <w:spacing w:after="0" w:line="287" w:lineRule="auto"/>
        <w:rPr>
          <w:sz w:val="20"/>
          <w:szCs w:val="20"/>
          <w:color w:val="auto"/>
        </w:rPr>
      </w:pPr>
      <w:r>
        <w:rPr>
          <w:rFonts w:ascii="Times New Roman" w:cs="Times New Roman" w:eastAsia="Times New Roman" w:hAnsi="Times New Roman"/>
          <w:sz w:val="17"/>
          <w:szCs w:val="17"/>
          <w:color w:val="auto"/>
        </w:rPr>
        <w:t>Mr. Evans is entitled to severance consisting of 12 months of continued base salary, an amount equal to his target bonus payable when such bonuses are paid to employees, and 12 months of COBRA coverage following the date of such termination at no cost to Mr. Evans during the severance period.</w:t>
      </w:r>
    </w:p>
    <w:p>
      <w:pPr>
        <w:spacing w:after="0" w:line="164" w:lineRule="exact"/>
        <w:rPr>
          <w:sz w:val="20"/>
          <w:szCs w:val="20"/>
          <w:color w:val="auto"/>
        </w:rPr>
      </w:pPr>
    </w:p>
    <w:p>
      <w:pPr>
        <w:ind w:firstLine="309"/>
        <w:spacing w:after="0" w:line="254" w:lineRule="auto"/>
        <w:rPr>
          <w:sz w:val="20"/>
          <w:szCs w:val="20"/>
          <w:color w:val="auto"/>
        </w:rPr>
      </w:pPr>
      <w:r>
        <w:rPr>
          <w:rFonts w:ascii="Times New Roman" w:cs="Times New Roman" w:eastAsia="Times New Roman" w:hAnsi="Times New Roman"/>
          <w:sz w:val="17"/>
          <w:szCs w:val="17"/>
          <w:color w:val="auto"/>
        </w:rPr>
        <w:t>In addition, if Mr. Doherty, Ms. Baldock’s, Ms. Brittenham's or Mr. Webb's employment is terminated without cause or for good reason such NEO is entitled to accelerated vesting of time-based restricted stock awards and of earned PSUs to the vesting event next following the date on which the employment period is terminated. Furthermore, with respect to PSU awards granted after December 31, 2021, held by such as of the date on which the employment is terminated without cause or for good reason that have not been</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converted to earned PSUs, such NEO’s rights under the award will be fully vested based on the number of shares that would be earned under the award based on performance measured through the end of the employment period.</w:t>
      </w:r>
    </w:p>
    <w:p>
      <w:pPr>
        <w:spacing w:after="0" w:line="190" w:lineRule="exact"/>
        <w:rPr>
          <w:sz w:val="20"/>
          <w:szCs w:val="20"/>
          <w:color w:val="auto"/>
        </w:rPr>
      </w:pPr>
    </w:p>
    <w:p>
      <w:pPr>
        <w:ind w:right="300" w:firstLine="309"/>
        <w:spacing w:after="0" w:line="254" w:lineRule="auto"/>
        <w:rPr>
          <w:sz w:val="20"/>
          <w:szCs w:val="20"/>
          <w:color w:val="auto"/>
        </w:rPr>
      </w:pPr>
      <w:r>
        <w:rPr>
          <w:rFonts w:ascii="Times New Roman" w:cs="Times New Roman" w:eastAsia="Times New Roman" w:hAnsi="Times New Roman"/>
          <w:sz w:val="17"/>
          <w:szCs w:val="17"/>
          <w:color w:val="auto"/>
        </w:rPr>
        <w:t>Mr. Bane resigned as our President, National Group and his employment agreement was terminated effective October 3, 2025. For a description of the payments and benefits Mr. Bane may have been entitled to in connection with his retirement, see "- Narrative Disclosure to Summary Compensation Table and 2025 Grants of Plan-Based Awards Table"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Equity-Related Severance and Change of Control Benefits</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Restricted Stock Awards</w:t>
      </w:r>
    </w:p>
    <w:p>
      <w:pPr>
        <w:spacing w:after="0" w:line="234" w:lineRule="exact"/>
        <w:rPr>
          <w:sz w:val="20"/>
          <w:szCs w:val="20"/>
          <w:color w:val="auto"/>
        </w:rPr>
      </w:pPr>
    </w:p>
    <w:p>
      <w:pPr>
        <w:ind w:right="100" w:firstLine="309"/>
        <w:spacing w:after="0" w:line="256" w:lineRule="auto"/>
        <w:rPr>
          <w:sz w:val="20"/>
          <w:szCs w:val="20"/>
          <w:color w:val="auto"/>
        </w:rPr>
      </w:pPr>
      <w:r>
        <w:rPr>
          <w:rFonts w:ascii="Times New Roman" w:cs="Times New Roman" w:eastAsia="Times New Roman" w:hAnsi="Times New Roman"/>
          <w:sz w:val="17"/>
          <w:szCs w:val="17"/>
          <w:color w:val="auto"/>
        </w:rPr>
        <w:t>In accordance with our NEOs' restricted stock award agreements, unvested restricted stock is forfeited upon a termination of employment, except that the vesting of any unvested restricted stock will become immediately accelerated in full (1) on a termination of employment by the NEO due to death or disability, or</w:t>
      </w:r>
    </w:p>
    <w:p>
      <w:pPr>
        <w:spacing w:after="0" w:line="1" w:lineRule="exact"/>
        <w:rPr>
          <w:sz w:val="20"/>
          <w:szCs w:val="20"/>
          <w:color w:val="auto"/>
        </w:rPr>
      </w:pPr>
    </w:p>
    <w:p>
      <w:pPr>
        <w:jc w:val="both"/>
        <w:ind w:right="200" w:firstLine="3"/>
        <w:spacing w:after="0" w:line="251" w:lineRule="auto"/>
        <w:tabs>
          <w:tab w:leader="none" w:pos="24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termination of employment by the Company without "cause" or resignation by the executive for "good reason" (each as defined in the applicable award agreement) within 90 days prior to or 18 months following a change in control. If, in connection with a change in control, unvested shares of restricted stock are not assumed or continued, or a new award substituted for the unvested shares of restricted stock, such unvested shares will automatically vest in full.</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Performance Stock Units</w:t>
      </w:r>
    </w:p>
    <w:p>
      <w:pPr>
        <w:spacing w:after="0" w:line="234" w:lineRule="exact"/>
        <w:rPr>
          <w:sz w:val="20"/>
          <w:szCs w:val="20"/>
          <w:color w:val="auto"/>
        </w:rPr>
      </w:pPr>
    </w:p>
    <w:p>
      <w:pPr>
        <w:ind w:right="80" w:firstLine="309"/>
        <w:spacing w:after="0" w:line="253" w:lineRule="auto"/>
        <w:rPr>
          <w:sz w:val="20"/>
          <w:szCs w:val="20"/>
          <w:color w:val="auto"/>
        </w:rPr>
      </w:pPr>
      <w:r>
        <w:rPr>
          <w:rFonts w:ascii="Times New Roman" w:cs="Times New Roman" w:eastAsia="Times New Roman" w:hAnsi="Times New Roman"/>
          <w:sz w:val="17"/>
          <w:szCs w:val="17"/>
          <w:color w:val="auto"/>
        </w:rPr>
        <w:t>In accordance with our NEOs' PSU award agreements, upon a termination of employment for any reason, (1) any PSUs that are not yet earned are immediately forfeited, and (2) any PSUs that are earned but unvested are immediately forfeited, except that the vesting of any unvested earned PSUs will become immediately accelerated in full (a) on a termination of employment by the NEO due to death or disability, or (b) on a termination of employment by the Company without "cause" or resignation by the executive for "good reason" (each as defined in the applicable award agreement) within 90 days prior to or 18 months following a change in control.</w:t>
      </w:r>
    </w:p>
    <w:p>
      <w:pPr>
        <w:spacing w:after="0" w:line="194" w:lineRule="exact"/>
        <w:rPr>
          <w:sz w:val="20"/>
          <w:szCs w:val="20"/>
          <w:color w:val="auto"/>
        </w:rPr>
      </w:pPr>
    </w:p>
    <w:p>
      <w:pPr>
        <w:ind w:right="280" w:firstLine="309"/>
        <w:spacing w:after="0" w:line="249" w:lineRule="auto"/>
        <w:rPr>
          <w:sz w:val="20"/>
          <w:szCs w:val="20"/>
          <w:color w:val="auto"/>
        </w:rPr>
      </w:pPr>
      <w:r>
        <w:rPr>
          <w:rFonts w:ascii="Times New Roman" w:cs="Times New Roman" w:eastAsia="Times New Roman" w:hAnsi="Times New Roman"/>
          <w:sz w:val="17"/>
          <w:szCs w:val="17"/>
          <w:color w:val="auto"/>
        </w:rPr>
        <w:t>If a change in control occurs during the performance period, the Compensation Committee will determine the extent to which the performance criteria has been satisfied and the number of PSUs that have been earned based on such performance criteria as of the change in control (which is prorated based on the number of days that have elapsed during the performance period). Thereafter, earned PSUs, if any, continue to vest solely based on time in accordance with the terms of the award agreement. If, in connection with a change in control, earned PSUs are not assumed or continued, or a new award substituted for the earned PSUs, the earned PSUs will automatically vest in full.</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Stock Option Awards</w:t>
      </w:r>
    </w:p>
    <w:p>
      <w:pPr>
        <w:spacing w:after="0" w:line="234" w:lineRule="exact"/>
        <w:rPr>
          <w:sz w:val="20"/>
          <w:szCs w:val="20"/>
          <w:color w:val="auto"/>
        </w:rPr>
      </w:pPr>
    </w:p>
    <w:p>
      <w:pPr>
        <w:ind w:firstLine="309"/>
        <w:spacing w:after="0" w:line="250" w:lineRule="auto"/>
        <w:rPr>
          <w:sz w:val="20"/>
          <w:szCs w:val="20"/>
          <w:color w:val="auto"/>
        </w:rPr>
      </w:pPr>
      <w:r>
        <w:rPr>
          <w:rFonts w:ascii="Times New Roman" w:cs="Times New Roman" w:eastAsia="Times New Roman" w:hAnsi="Times New Roman"/>
          <w:sz w:val="17"/>
          <w:szCs w:val="17"/>
          <w:color w:val="auto"/>
        </w:rPr>
        <w:t>In accordance with our NEOs' stock option award agreements, if any of our continuing NEOs employment is terminated without cause or for good reason by such NEO within 90 days prior to or 18 months following a change in control, then the stock option awards, to the extent outstanding and which have not previously vested in accordance with Time Condition shall automatically be deemed to have vested immediately prior to such NEO’s cessation of employment with the Company; provided, however, that the performance vesting requirements of such stock option awards shall remain in full force and effect. For purposes of satisfying the "Time Condition" portion of the stock option awards vesting, one-third (1/3) vested in three equal installments on each of December 31, 2020, December 31, 2021, and December 31, 2022, generally contingent upon continued employment through each applicable vesting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Terms and Conditions</w:t>
      </w:r>
    </w:p>
    <w:p>
      <w:pPr>
        <w:spacing w:after="0" w:line="234" w:lineRule="exact"/>
        <w:rPr>
          <w:sz w:val="20"/>
          <w:szCs w:val="20"/>
          <w:color w:val="auto"/>
        </w:rPr>
      </w:pPr>
    </w:p>
    <w:p>
      <w:pPr>
        <w:ind w:right="60" w:firstLine="309"/>
        <w:spacing w:after="0" w:line="254" w:lineRule="auto"/>
        <w:rPr>
          <w:sz w:val="20"/>
          <w:szCs w:val="20"/>
          <w:color w:val="auto"/>
        </w:rPr>
      </w:pPr>
      <w:r>
        <w:rPr>
          <w:rFonts w:ascii="Times New Roman" w:cs="Times New Roman" w:eastAsia="Times New Roman" w:hAnsi="Times New Roman"/>
          <w:sz w:val="17"/>
          <w:szCs w:val="17"/>
          <w:color w:val="auto"/>
        </w:rPr>
        <w:t>Pursuant to their respective employment agreements, our NEOs are bound by certain restrictive covenants, including covenants relating to confidentiality and assignment of intellectual property rights, as well as covenants not to compete with us or to solicit our employees or other service providers during employment and for a specified period following termination of employment. Each of our NEOs is bound by a non-competition covenant for one year following termination of employment, and by a non-solicitation covenant for two years following termination of employment.</w:t>
      </w:r>
    </w:p>
    <w:p>
      <w:pPr>
        <w:spacing w:after="0" w:line="191" w:lineRule="exact"/>
        <w:rPr>
          <w:sz w:val="20"/>
          <w:szCs w:val="20"/>
          <w:color w:val="auto"/>
        </w:rPr>
      </w:pPr>
    </w:p>
    <w:p>
      <w:pPr>
        <w:ind w:right="160" w:firstLine="309"/>
        <w:spacing w:after="0" w:line="254" w:lineRule="auto"/>
        <w:rPr>
          <w:sz w:val="20"/>
          <w:szCs w:val="20"/>
          <w:color w:val="auto"/>
        </w:rPr>
      </w:pPr>
      <w:r>
        <w:rPr>
          <w:rFonts w:ascii="Times New Roman" w:cs="Times New Roman" w:eastAsia="Times New Roman" w:hAnsi="Times New Roman"/>
          <w:sz w:val="17"/>
          <w:szCs w:val="17"/>
          <w:color w:val="auto"/>
        </w:rPr>
        <w:t>The following table summarizes the payments that would have been made to our continuing NEOs upon the occurrence of a termination of employment or a change in control, assuming that each NEO's termination of employment with the Company or a change in control occurred on December 31, 2025. Amounts shown do not include (i) accrued but unpaid salary, and (ii) other benefits earned or accrued by the continuing NEO during his or her employment that are available to all salaried employees and that do not discriminate in scope, terms or operations in favor of executive officers.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6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Termination Without Cause /</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Termination</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214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Without Cause / Resignation</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14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Resignation</w:t>
            </w:r>
          </w:p>
        </w:tc>
        <w:tc>
          <w:tcPr>
            <w:tcW w:w="214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for Good Reason In</w:t>
            </w:r>
          </w:p>
        </w:tc>
        <w:tc>
          <w:tcPr>
            <w:tcW w:w="0" w:type="dxa"/>
            <w:vAlign w:val="bottom"/>
          </w:tcPr>
          <w:p>
            <w:pPr>
              <w:spacing w:after="0"/>
              <w:rPr>
                <w:sz w:val="1"/>
                <w:szCs w:val="1"/>
                <w:color w:val="auto"/>
              </w:rPr>
            </w:pPr>
          </w:p>
        </w:tc>
      </w:tr>
      <w:tr>
        <w:trPr>
          <w:trHeight w:val="155"/>
        </w:trPr>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Name</w:t>
            </w:r>
          </w:p>
        </w:tc>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Benefit</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Death/Disability</w:t>
            </w:r>
          </w:p>
        </w:tc>
        <w:tc>
          <w:tcPr>
            <w:tcW w:w="214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for Good</w:t>
            </w:r>
          </w:p>
        </w:tc>
        <w:tc>
          <w:tcPr>
            <w:tcW w:w="214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Connection with a</w:t>
            </w:r>
          </w:p>
        </w:tc>
        <w:tc>
          <w:tcPr>
            <w:tcW w:w="0" w:type="dxa"/>
            <w:vAlign w:val="bottom"/>
          </w:tcPr>
          <w:p>
            <w:pPr>
              <w:spacing w:after="0"/>
              <w:rPr>
                <w:sz w:val="1"/>
                <w:szCs w:val="1"/>
                <w:color w:val="auto"/>
              </w:rPr>
            </w:pPr>
          </w:p>
        </w:tc>
      </w:tr>
      <w:tr>
        <w:trPr>
          <w:trHeight w:val="204"/>
        </w:trPr>
        <w:tc>
          <w:tcPr>
            <w:tcW w:w="2660" w:type="dxa"/>
            <w:vAlign w:val="bottom"/>
            <w:vMerge w:val="continue"/>
          </w:tcPr>
          <w:p>
            <w:pPr>
              <w:spacing w:after="0"/>
              <w:rPr>
                <w:sz w:val="17"/>
                <w:szCs w:val="17"/>
                <w:color w:val="auto"/>
              </w:rPr>
            </w:pPr>
          </w:p>
        </w:tc>
        <w:tc>
          <w:tcPr>
            <w:tcW w:w="26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Reason</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Change in Control</w:t>
            </w:r>
          </w:p>
        </w:tc>
        <w:tc>
          <w:tcPr>
            <w:tcW w:w="0" w:type="dxa"/>
            <w:vAlign w:val="bottom"/>
          </w:tcPr>
          <w:p>
            <w:pPr>
              <w:spacing w:after="0"/>
              <w:rPr>
                <w:sz w:val="1"/>
                <w:szCs w:val="1"/>
                <w:color w:val="auto"/>
              </w:rPr>
            </w:pPr>
          </w:p>
        </w:tc>
      </w:tr>
      <w:tr>
        <w:trPr>
          <w:trHeight w:val="41"/>
        </w:trPr>
        <w:tc>
          <w:tcPr>
            <w:tcW w:w="266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J. Eric Evans</w:t>
            </w:r>
          </w:p>
        </w:tc>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xml:space="preserve">Cash Severance </w:t>
            </w:r>
            <w:r>
              <w:rPr>
                <w:rFonts w:ascii="Times New Roman" w:cs="Times New Roman" w:eastAsia="Times New Roman" w:hAnsi="Times New Roman"/>
                <w:sz w:val="20"/>
                <w:szCs w:val="20"/>
                <w:color w:val="auto"/>
                <w:vertAlign w:val="superscript"/>
              </w:rPr>
              <w:t>(2)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$2,310,000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$2,310,000</w:t>
            </w:r>
          </w:p>
        </w:tc>
        <w:tc>
          <w:tcPr>
            <w:tcW w:w="0" w:type="dxa"/>
            <w:vAlign w:val="bottom"/>
          </w:tcPr>
          <w:p>
            <w:pPr>
              <w:spacing w:after="0"/>
              <w:rPr>
                <w:sz w:val="1"/>
                <w:szCs w:val="1"/>
                <w:color w:val="auto"/>
              </w:rPr>
            </w:pPr>
          </w:p>
        </w:tc>
      </w:tr>
      <w:tr>
        <w:trPr>
          <w:trHeight w:val="271"/>
        </w:trPr>
        <w:tc>
          <w:tcPr>
            <w:tcW w:w="2660" w:type="dxa"/>
            <w:vAlign w:val="bottom"/>
            <w:shd w:val="clear" w:color="auto" w:fill="CCEEFF"/>
          </w:tcPr>
          <w:p>
            <w:pPr>
              <w:spacing w:after="0"/>
              <w:rPr>
                <w:sz w:val="23"/>
                <w:szCs w:val="23"/>
                <w:color w:val="auto"/>
              </w:rPr>
            </w:pPr>
          </w:p>
        </w:tc>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Equity Payout / Acceleration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 xml:space="preserve">2,678,922 </w:t>
            </w:r>
            <w:r>
              <w:rPr>
                <w:rFonts w:ascii="Times New Roman" w:cs="Times New Roman" w:eastAsia="Times New Roman" w:hAnsi="Times New Roman"/>
                <w:sz w:val="20"/>
                <w:szCs w:val="20"/>
                <w:color w:val="auto"/>
                <w:w w:val="95"/>
                <w:vertAlign w:val="superscript"/>
              </w:rPr>
              <w:t>(4)</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 xml:space="preserve">3,328,079 </w:t>
            </w:r>
            <w:r>
              <w:rPr>
                <w:rFonts w:ascii="Times New Roman" w:cs="Times New Roman" w:eastAsia="Times New Roman" w:hAnsi="Times New Roman"/>
                <w:sz w:val="20"/>
                <w:szCs w:val="20"/>
                <w:color w:val="auto"/>
                <w:w w:val="95"/>
                <w:vertAlign w:val="superscript"/>
              </w:rPr>
              <w:t>(6)</w:t>
            </w:r>
          </w:p>
        </w:tc>
        <w:tc>
          <w:tcPr>
            <w:tcW w:w="0" w:type="dxa"/>
            <w:vAlign w:val="bottom"/>
          </w:tcPr>
          <w:p>
            <w:pPr>
              <w:spacing w:after="0"/>
              <w:rPr>
                <w:sz w:val="1"/>
                <w:szCs w:val="1"/>
                <w:color w:val="auto"/>
              </w:rPr>
            </w:pPr>
          </w:p>
        </w:tc>
      </w:tr>
      <w:tr>
        <w:trPr>
          <w:trHeight w:val="271"/>
        </w:trPr>
        <w:tc>
          <w:tcPr>
            <w:tcW w:w="2660" w:type="dxa"/>
            <w:vAlign w:val="bottom"/>
            <w:shd w:val="clear" w:color="auto" w:fill="CCEEFF"/>
          </w:tcPr>
          <w:p>
            <w:pPr>
              <w:spacing w:after="0"/>
              <w:rPr>
                <w:sz w:val="23"/>
                <w:szCs w:val="23"/>
                <w:color w:val="auto"/>
              </w:rPr>
            </w:pPr>
          </w:p>
        </w:tc>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xml:space="preserve">Health Benefits </w:t>
            </w:r>
            <w:r>
              <w:rPr>
                <w:rFonts w:ascii="Times New Roman" w:cs="Times New Roman" w:eastAsia="Times New Roman" w:hAnsi="Times New Roman"/>
                <w:sz w:val="20"/>
                <w:szCs w:val="20"/>
                <w:color w:val="auto"/>
                <w:vertAlign w:val="superscript"/>
              </w:rPr>
              <w:t>(3)</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25,019</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25,019</w:t>
            </w:r>
          </w:p>
        </w:tc>
        <w:tc>
          <w:tcPr>
            <w:tcW w:w="0" w:type="dxa"/>
            <w:vAlign w:val="bottom"/>
          </w:tcPr>
          <w:p>
            <w:pPr>
              <w:spacing w:after="0"/>
              <w:rPr>
                <w:sz w:val="1"/>
                <w:szCs w:val="1"/>
                <w:color w:val="auto"/>
              </w:rPr>
            </w:pPr>
          </w:p>
        </w:tc>
      </w:tr>
      <w:tr>
        <w:trPr>
          <w:trHeight w:val="197"/>
        </w:trPr>
        <w:tc>
          <w:tcPr>
            <w:tcW w:w="26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David T. Doherty</w:t>
            </w:r>
          </w:p>
        </w:tc>
        <w:tc>
          <w:tcPr>
            <w:tcW w:w="2600" w:type="dxa"/>
            <w:vAlign w:val="bottom"/>
          </w:tcPr>
          <w:p>
            <w:pPr>
              <w:ind w:left="40"/>
              <w:spacing w:after="0" w:line="197" w:lineRule="exact"/>
              <w:rPr>
                <w:sz w:val="20"/>
                <w:szCs w:val="20"/>
                <w:color w:val="auto"/>
              </w:rPr>
            </w:pPr>
            <w:r>
              <w:rPr>
                <w:rFonts w:ascii="Times New Roman" w:cs="Times New Roman" w:eastAsia="Times New Roman" w:hAnsi="Times New Roman"/>
                <w:sz w:val="15"/>
                <w:szCs w:val="15"/>
                <w:color w:val="auto"/>
              </w:rPr>
              <w:t xml:space="preserve">Cash Severance </w:t>
            </w:r>
            <w:r>
              <w:rPr>
                <w:rFonts w:ascii="Times New Roman" w:cs="Times New Roman" w:eastAsia="Times New Roman" w:hAnsi="Times New Roman"/>
                <w:sz w:val="20"/>
                <w:szCs w:val="20"/>
                <w:color w:val="auto"/>
                <w:vertAlign w:val="superscript"/>
              </w:rPr>
              <w:t>(2)</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1,340,000</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1,340,000</w:t>
            </w:r>
          </w:p>
        </w:tc>
        <w:tc>
          <w:tcPr>
            <w:tcW w:w="0" w:type="dxa"/>
            <w:vAlign w:val="bottom"/>
          </w:tcPr>
          <w:p>
            <w:pPr>
              <w:spacing w:after="0"/>
              <w:rPr>
                <w:sz w:val="1"/>
                <w:szCs w:val="1"/>
                <w:color w:val="auto"/>
              </w:rPr>
            </w:pPr>
          </w:p>
        </w:tc>
      </w:tr>
      <w:tr>
        <w:trPr>
          <w:trHeight w:val="206"/>
        </w:trPr>
        <w:tc>
          <w:tcPr>
            <w:tcW w:w="2660" w:type="dxa"/>
            <w:vAlign w:val="bottom"/>
          </w:tcPr>
          <w:p>
            <w:pPr>
              <w:spacing w:after="0"/>
              <w:rPr>
                <w:sz w:val="17"/>
                <w:szCs w:val="17"/>
                <w:color w:val="auto"/>
              </w:rPr>
            </w:pPr>
          </w:p>
        </w:tc>
        <w:tc>
          <w:tcPr>
            <w:tcW w:w="26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Equity Payout / Acceleration</w:t>
            </w:r>
          </w:p>
        </w:tc>
        <w:tc>
          <w:tcPr>
            <w:tcW w:w="1680" w:type="dxa"/>
            <w:vAlign w:val="bottom"/>
          </w:tcPr>
          <w:p>
            <w:pPr>
              <w:jc w:val="center"/>
              <w:spacing w:after="0" w:line="207" w:lineRule="exact"/>
              <w:rPr>
                <w:sz w:val="20"/>
                <w:szCs w:val="20"/>
                <w:color w:val="auto"/>
              </w:rPr>
            </w:pPr>
            <w:r>
              <w:rPr>
                <w:rFonts w:ascii="Times New Roman" w:cs="Times New Roman" w:eastAsia="Times New Roman" w:hAnsi="Times New Roman"/>
                <w:sz w:val="15"/>
                <w:szCs w:val="15"/>
                <w:color w:val="auto"/>
                <w:w w:val="95"/>
              </w:rPr>
              <w:t xml:space="preserve">1,597,175 </w:t>
            </w:r>
            <w:r>
              <w:rPr>
                <w:rFonts w:ascii="Times New Roman" w:cs="Times New Roman" w:eastAsia="Times New Roman" w:hAnsi="Times New Roman"/>
                <w:sz w:val="20"/>
                <w:szCs w:val="20"/>
                <w:color w:val="auto"/>
                <w:w w:val="95"/>
                <w:vertAlign w:val="superscript"/>
              </w:rPr>
              <w:t>(4)</w:t>
            </w:r>
          </w:p>
        </w:tc>
        <w:tc>
          <w:tcPr>
            <w:tcW w:w="2140" w:type="dxa"/>
            <w:vAlign w:val="bottom"/>
          </w:tcPr>
          <w:p>
            <w:pPr>
              <w:jc w:val="center"/>
              <w:spacing w:after="0" w:line="207" w:lineRule="exact"/>
              <w:rPr>
                <w:sz w:val="20"/>
                <w:szCs w:val="20"/>
                <w:color w:val="auto"/>
              </w:rPr>
            </w:pPr>
            <w:r>
              <w:rPr>
                <w:rFonts w:ascii="Times New Roman" w:cs="Times New Roman" w:eastAsia="Times New Roman" w:hAnsi="Times New Roman"/>
                <w:sz w:val="15"/>
                <w:szCs w:val="15"/>
                <w:color w:val="auto"/>
                <w:w w:val="95"/>
              </w:rPr>
              <w:t xml:space="preserve">1,118,825 </w:t>
            </w:r>
            <w:r>
              <w:rPr>
                <w:rFonts w:ascii="Times New Roman" w:cs="Times New Roman" w:eastAsia="Times New Roman" w:hAnsi="Times New Roman"/>
                <w:sz w:val="20"/>
                <w:szCs w:val="20"/>
                <w:color w:val="auto"/>
                <w:w w:val="95"/>
                <w:vertAlign w:val="superscript"/>
              </w:rPr>
              <w:t>(5)</w:t>
            </w:r>
          </w:p>
        </w:tc>
        <w:tc>
          <w:tcPr>
            <w:tcW w:w="2140" w:type="dxa"/>
            <w:vAlign w:val="bottom"/>
          </w:tcPr>
          <w:p>
            <w:pPr>
              <w:jc w:val="center"/>
              <w:spacing w:after="0" w:line="207" w:lineRule="exact"/>
              <w:rPr>
                <w:sz w:val="20"/>
                <w:szCs w:val="20"/>
                <w:color w:val="auto"/>
              </w:rPr>
            </w:pPr>
            <w:r>
              <w:rPr>
                <w:rFonts w:ascii="Times New Roman" w:cs="Times New Roman" w:eastAsia="Times New Roman" w:hAnsi="Times New Roman"/>
                <w:sz w:val="15"/>
                <w:szCs w:val="15"/>
                <w:color w:val="auto"/>
                <w:w w:val="95"/>
              </w:rPr>
              <w:t xml:space="preserve">1,856,838 </w:t>
            </w:r>
            <w:r>
              <w:rPr>
                <w:rFonts w:ascii="Times New Roman" w:cs="Times New Roman" w:eastAsia="Times New Roman" w:hAnsi="Times New Roman"/>
                <w:sz w:val="20"/>
                <w:szCs w:val="20"/>
                <w:color w:val="auto"/>
                <w:w w:val="95"/>
                <w:vertAlign w:val="superscript"/>
              </w:rPr>
              <w:t>(6)</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600" w:type="dxa"/>
            <w:vAlign w:val="bottom"/>
          </w:tcPr>
          <w:p>
            <w:pPr>
              <w:ind w:left="40"/>
              <w:spacing w:after="0" w:line="216" w:lineRule="exact"/>
              <w:rPr>
                <w:sz w:val="20"/>
                <w:szCs w:val="20"/>
                <w:color w:val="auto"/>
              </w:rPr>
            </w:pPr>
            <w:r>
              <w:rPr>
                <w:rFonts w:ascii="Times New Roman" w:cs="Times New Roman" w:eastAsia="Times New Roman" w:hAnsi="Times New Roman"/>
                <w:sz w:val="15"/>
                <w:szCs w:val="15"/>
                <w:color w:val="auto"/>
              </w:rPr>
              <w:t xml:space="preserve">Health Benefits </w:t>
            </w:r>
            <w:r>
              <w:rPr>
                <w:rFonts w:ascii="Times New Roman" w:cs="Times New Roman" w:eastAsia="Times New Roman" w:hAnsi="Times New Roman"/>
                <w:sz w:val="20"/>
                <w:szCs w:val="20"/>
                <w:color w:val="auto"/>
                <w:vertAlign w:val="superscript"/>
              </w:rPr>
              <w:t>(3)</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24,841</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24,841</w:t>
            </w:r>
          </w:p>
        </w:tc>
        <w:tc>
          <w:tcPr>
            <w:tcW w:w="0" w:type="dxa"/>
            <w:vAlign w:val="bottom"/>
          </w:tcPr>
          <w:p>
            <w:pPr>
              <w:spacing w:after="0"/>
              <w:rPr>
                <w:sz w:val="1"/>
                <w:szCs w:val="1"/>
                <w:color w:val="auto"/>
              </w:rPr>
            </w:pPr>
          </w:p>
        </w:tc>
      </w:tr>
      <w:tr>
        <w:trPr>
          <w:trHeight w:val="271"/>
        </w:trPr>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Jennifer B. Baldock</w:t>
            </w:r>
          </w:p>
        </w:tc>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xml:space="preserve">Cash Severance </w:t>
            </w:r>
            <w:r>
              <w:rPr>
                <w:rFonts w:ascii="Times New Roman" w:cs="Times New Roman" w:eastAsia="Times New Roman" w:hAnsi="Times New Roman"/>
                <w:sz w:val="20"/>
                <w:szCs w:val="20"/>
                <w:color w:val="auto"/>
                <w:vertAlign w:val="superscript"/>
              </w:rPr>
              <w:t>(2)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1,236,000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1,236,000</w:t>
            </w:r>
          </w:p>
        </w:tc>
        <w:tc>
          <w:tcPr>
            <w:tcW w:w="0" w:type="dxa"/>
            <w:vAlign w:val="bottom"/>
          </w:tcPr>
          <w:p>
            <w:pPr>
              <w:spacing w:after="0"/>
              <w:rPr>
                <w:sz w:val="1"/>
                <w:szCs w:val="1"/>
                <w:color w:val="auto"/>
              </w:rPr>
            </w:pPr>
          </w:p>
        </w:tc>
      </w:tr>
      <w:tr>
        <w:trPr>
          <w:trHeight w:val="245"/>
        </w:trPr>
        <w:tc>
          <w:tcPr>
            <w:tcW w:w="2660" w:type="dxa"/>
            <w:vAlign w:val="bottom"/>
            <w:shd w:val="clear" w:color="auto" w:fill="CCEEFF"/>
          </w:tcPr>
          <w:p>
            <w:pPr>
              <w:spacing w:after="0"/>
              <w:rPr>
                <w:sz w:val="21"/>
                <w:szCs w:val="21"/>
                <w:color w:val="auto"/>
              </w:rPr>
            </w:pPr>
          </w:p>
        </w:tc>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Equity Payout / Acceleration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 xml:space="preserve">1,255,081 </w:t>
            </w:r>
            <w:r>
              <w:rPr>
                <w:rFonts w:ascii="Times New Roman" w:cs="Times New Roman" w:eastAsia="Times New Roman" w:hAnsi="Times New Roman"/>
                <w:sz w:val="20"/>
                <w:szCs w:val="20"/>
                <w:color w:val="auto"/>
                <w:w w:val="95"/>
                <w:vertAlign w:val="superscript"/>
              </w:rPr>
              <w:t>(4)</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 xml:space="preserve">896,314 </w:t>
            </w:r>
            <w:r>
              <w:rPr>
                <w:rFonts w:ascii="Times New Roman" w:cs="Times New Roman" w:eastAsia="Times New Roman" w:hAnsi="Times New Roman"/>
                <w:sz w:val="20"/>
                <w:szCs w:val="20"/>
                <w:color w:val="auto"/>
                <w:w w:val="96"/>
                <w:vertAlign w:val="superscript"/>
              </w:rPr>
              <w:t>(5)</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 xml:space="preserve">1,449,828 </w:t>
            </w:r>
            <w:r>
              <w:rPr>
                <w:rFonts w:ascii="Times New Roman" w:cs="Times New Roman" w:eastAsia="Times New Roman" w:hAnsi="Times New Roman"/>
                <w:sz w:val="20"/>
                <w:szCs w:val="20"/>
                <w:color w:val="auto"/>
                <w:w w:val="95"/>
                <w:vertAlign w:val="superscript"/>
              </w:rPr>
              <w:t>(6)</w:t>
            </w:r>
          </w:p>
        </w:tc>
        <w:tc>
          <w:tcPr>
            <w:tcW w:w="0" w:type="dxa"/>
            <w:vAlign w:val="bottom"/>
          </w:tcPr>
          <w:p>
            <w:pPr>
              <w:spacing w:after="0"/>
              <w:rPr>
                <w:sz w:val="1"/>
                <w:szCs w:val="1"/>
                <w:color w:val="auto"/>
              </w:rPr>
            </w:pPr>
          </w:p>
        </w:tc>
      </w:tr>
      <w:tr>
        <w:trPr>
          <w:trHeight w:val="271"/>
        </w:trPr>
        <w:tc>
          <w:tcPr>
            <w:tcW w:w="2660" w:type="dxa"/>
            <w:vAlign w:val="bottom"/>
            <w:shd w:val="clear" w:color="auto" w:fill="CCEEFF"/>
          </w:tcPr>
          <w:p>
            <w:pPr>
              <w:spacing w:after="0"/>
              <w:rPr>
                <w:sz w:val="23"/>
                <w:szCs w:val="23"/>
                <w:color w:val="auto"/>
              </w:rPr>
            </w:pPr>
          </w:p>
        </w:tc>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xml:space="preserve">Health Benefits </w:t>
            </w:r>
            <w:r>
              <w:rPr>
                <w:rFonts w:ascii="Times New Roman" w:cs="Times New Roman" w:eastAsia="Times New Roman" w:hAnsi="Times New Roman"/>
                <w:sz w:val="20"/>
                <w:szCs w:val="20"/>
                <w:color w:val="auto"/>
                <w:vertAlign w:val="superscript"/>
              </w:rPr>
              <w:t>(3)</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24,841</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24,841</w:t>
            </w:r>
          </w:p>
        </w:tc>
        <w:tc>
          <w:tcPr>
            <w:tcW w:w="0" w:type="dxa"/>
            <w:vAlign w:val="bottom"/>
          </w:tcPr>
          <w:p>
            <w:pPr>
              <w:spacing w:after="0"/>
              <w:rPr>
                <w:sz w:val="1"/>
                <w:szCs w:val="1"/>
                <w:color w:val="auto"/>
              </w:rPr>
            </w:pPr>
          </w:p>
        </w:tc>
      </w:tr>
      <w:tr>
        <w:trPr>
          <w:trHeight w:val="197"/>
        </w:trPr>
        <w:tc>
          <w:tcPr>
            <w:tcW w:w="26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Marissa A. Brittenham</w:t>
            </w:r>
          </w:p>
        </w:tc>
        <w:tc>
          <w:tcPr>
            <w:tcW w:w="2600" w:type="dxa"/>
            <w:vAlign w:val="bottom"/>
          </w:tcPr>
          <w:p>
            <w:pPr>
              <w:ind w:left="40"/>
              <w:spacing w:after="0" w:line="197" w:lineRule="exact"/>
              <w:rPr>
                <w:sz w:val="20"/>
                <w:szCs w:val="20"/>
                <w:color w:val="auto"/>
              </w:rPr>
            </w:pPr>
            <w:r>
              <w:rPr>
                <w:rFonts w:ascii="Times New Roman" w:cs="Times New Roman" w:eastAsia="Times New Roman" w:hAnsi="Times New Roman"/>
                <w:sz w:val="15"/>
                <w:szCs w:val="15"/>
                <w:color w:val="auto"/>
              </w:rPr>
              <w:t xml:space="preserve">Cash Severance </w:t>
            </w:r>
            <w:r>
              <w:rPr>
                <w:rFonts w:ascii="Times New Roman" w:cs="Times New Roman" w:eastAsia="Times New Roman" w:hAnsi="Times New Roman"/>
                <w:sz w:val="20"/>
                <w:szCs w:val="20"/>
                <w:color w:val="auto"/>
                <w:vertAlign w:val="superscript"/>
              </w:rPr>
              <w:t>(2)</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875,500</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875,500</w:t>
            </w:r>
          </w:p>
        </w:tc>
        <w:tc>
          <w:tcPr>
            <w:tcW w:w="0" w:type="dxa"/>
            <w:vAlign w:val="bottom"/>
          </w:tcPr>
          <w:p>
            <w:pPr>
              <w:spacing w:after="0"/>
              <w:rPr>
                <w:sz w:val="1"/>
                <w:szCs w:val="1"/>
                <w:color w:val="auto"/>
              </w:rPr>
            </w:pPr>
          </w:p>
        </w:tc>
      </w:tr>
      <w:tr>
        <w:trPr>
          <w:trHeight w:val="206"/>
        </w:trPr>
        <w:tc>
          <w:tcPr>
            <w:tcW w:w="2660" w:type="dxa"/>
            <w:vAlign w:val="bottom"/>
          </w:tcPr>
          <w:p>
            <w:pPr>
              <w:spacing w:after="0"/>
              <w:rPr>
                <w:sz w:val="17"/>
                <w:szCs w:val="17"/>
                <w:color w:val="auto"/>
              </w:rPr>
            </w:pPr>
          </w:p>
        </w:tc>
        <w:tc>
          <w:tcPr>
            <w:tcW w:w="26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Equity Payout / Acceleration</w:t>
            </w:r>
          </w:p>
        </w:tc>
        <w:tc>
          <w:tcPr>
            <w:tcW w:w="1680" w:type="dxa"/>
            <w:vAlign w:val="bottom"/>
          </w:tcPr>
          <w:p>
            <w:pPr>
              <w:jc w:val="center"/>
              <w:spacing w:after="0" w:line="207" w:lineRule="exact"/>
              <w:rPr>
                <w:sz w:val="20"/>
                <w:szCs w:val="20"/>
                <w:color w:val="auto"/>
              </w:rPr>
            </w:pPr>
            <w:r>
              <w:rPr>
                <w:rFonts w:ascii="Times New Roman" w:cs="Times New Roman" w:eastAsia="Times New Roman" w:hAnsi="Times New Roman"/>
                <w:sz w:val="15"/>
                <w:szCs w:val="15"/>
                <w:color w:val="auto"/>
                <w:w w:val="93"/>
              </w:rPr>
              <w:t xml:space="preserve">629,031 </w:t>
            </w:r>
            <w:r>
              <w:rPr>
                <w:rFonts w:ascii="Times New Roman" w:cs="Times New Roman" w:eastAsia="Times New Roman" w:hAnsi="Times New Roman"/>
                <w:sz w:val="20"/>
                <w:szCs w:val="20"/>
                <w:color w:val="auto"/>
                <w:w w:val="93"/>
                <w:vertAlign w:val="superscript"/>
              </w:rPr>
              <w:t>(4)</w:t>
            </w:r>
          </w:p>
        </w:tc>
        <w:tc>
          <w:tcPr>
            <w:tcW w:w="2140" w:type="dxa"/>
            <w:vAlign w:val="bottom"/>
          </w:tcPr>
          <w:p>
            <w:pPr>
              <w:jc w:val="center"/>
              <w:spacing w:after="0" w:line="207" w:lineRule="exact"/>
              <w:rPr>
                <w:sz w:val="20"/>
                <w:szCs w:val="20"/>
                <w:color w:val="auto"/>
              </w:rPr>
            </w:pPr>
            <w:r>
              <w:rPr>
                <w:rFonts w:ascii="Times New Roman" w:cs="Times New Roman" w:eastAsia="Times New Roman" w:hAnsi="Times New Roman"/>
                <w:sz w:val="15"/>
                <w:szCs w:val="15"/>
                <w:color w:val="auto"/>
                <w:w w:val="96"/>
              </w:rPr>
              <w:t xml:space="preserve">485,521 </w:t>
            </w:r>
            <w:r>
              <w:rPr>
                <w:rFonts w:ascii="Times New Roman" w:cs="Times New Roman" w:eastAsia="Times New Roman" w:hAnsi="Times New Roman"/>
                <w:sz w:val="20"/>
                <w:szCs w:val="20"/>
                <w:color w:val="auto"/>
                <w:w w:val="96"/>
                <w:vertAlign w:val="superscript"/>
              </w:rPr>
              <w:t>(5)</w:t>
            </w:r>
          </w:p>
        </w:tc>
        <w:tc>
          <w:tcPr>
            <w:tcW w:w="2140" w:type="dxa"/>
            <w:vAlign w:val="bottom"/>
          </w:tcPr>
          <w:p>
            <w:pPr>
              <w:jc w:val="center"/>
              <w:spacing w:after="0" w:line="207" w:lineRule="exact"/>
              <w:rPr>
                <w:sz w:val="20"/>
                <w:szCs w:val="20"/>
                <w:color w:val="auto"/>
              </w:rPr>
            </w:pPr>
            <w:r>
              <w:rPr>
                <w:rFonts w:ascii="Times New Roman" w:cs="Times New Roman" w:eastAsia="Times New Roman" w:hAnsi="Times New Roman"/>
                <w:sz w:val="15"/>
                <w:szCs w:val="15"/>
                <w:color w:val="auto"/>
                <w:w w:val="96"/>
              </w:rPr>
              <w:t xml:space="preserve">706,930 </w:t>
            </w:r>
            <w:r>
              <w:rPr>
                <w:rFonts w:ascii="Times New Roman" w:cs="Times New Roman" w:eastAsia="Times New Roman" w:hAnsi="Times New Roman"/>
                <w:sz w:val="20"/>
                <w:szCs w:val="20"/>
                <w:color w:val="auto"/>
                <w:w w:val="96"/>
                <w:vertAlign w:val="superscript"/>
              </w:rPr>
              <w:t>(6)</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600" w:type="dxa"/>
            <w:vAlign w:val="bottom"/>
          </w:tcPr>
          <w:p>
            <w:pPr>
              <w:ind w:left="40"/>
              <w:spacing w:after="0" w:line="216" w:lineRule="exact"/>
              <w:rPr>
                <w:sz w:val="20"/>
                <w:szCs w:val="20"/>
                <w:color w:val="auto"/>
              </w:rPr>
            </w:pPr>
            <w:r>
              <w:rPr>
                <w:rFonts w:ascii="Times New Roman" w:cs="Times New Roman" w:eastAsia="Times New Roman" w:hAnsi="Times New Roman"/>
                <w:sz w:val="15"/>
                <w:szCs w:val="15"/>
                <w:color w:val="auto"/>
              </w:rPr>
              <w:t xml:space="preserve">Health Benefits </w:t>
            </w:r>
            <w:r>
              <w:rPr>
                <w:rFonts w:ascii="Times New Roman" w:cs="Times New Roman" w:eastAsia="Times New Roman" w:hAnsi="Times New Roman"/>
                <w:sz w:val="20"/>
                <w:szCs w:val="20"/>
                <w:color w:val="auto"/>
                <w:vertAlign w:val="superscript"/>
              </w:rPr>
              <w:t>(3)</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8,657</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8,657</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 Trent Webb</w:t>
            </w:r>
          </w:p>
        </w:tc>
        <w:tc>
          <w:tcPr>
            <w:tcW w:w="2600" w:type="dxa"/>
            <w:vAlign w:val="bottom"/>
            <w:shd w:val="clear" w:color="auto" w:fill="CCEEFF"/>
          </w:tcPr>
          <w:p>
            <w:pPr>
              <w:ind w:left="40"/>
              <w:spacing w:after="0" w:line="207" w:lineRule="exact"/>
              <w:rPr>
                <w:sz w:val="20"/>
                <w:szCs w:val="20"/>
                <w:color w:val="auto"/>
              </w:rPr>
            </w:pPr>
            <w:r>
              <w:rPr>
                <w:rFonts w:ascii="Times New Roman" w:cs="Times New Roman" w:eastAsia="Times New Roman" w:hAnsi="Times New Roman"/>
                <w:sz w:val="15"/>
                <w:szCs w:val="15"/>
                <w:color w:val="auto"/>
              </w:rPr>
              <w:t xml:space="preserve">Cash Severance </w:t>
            </w:r>
            <w:r>
              <w:rPr>
                <w:rFonts w:ascii="Times New Roman" w:cs="Times New Roman" w:eastAsia="Times New Roman" w:hAnsi="Times New Roman"/>
                <w:sz w:val="20"/>
                <w:szCs w:val="20"/>
                <w:color w:val="auto"/>
                <w:vertAlign w:val="superscript"/>
              </w:rPr>
              <w:t>(2)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840,000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840,000</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spacing w:after="0"/>
              <w:rPr>
                <w:sz w:val="17"/>
                <w:szCs w:val="17"/>
                <w:color w:val="auto"/>
              </w:rPr>
            </w:pPr>
          </w:p>
        </w:tc>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Equity Payout / Acceleration</w:t>
            </w:r>
          </w:p>
        </w:tc>
        <w:tc>
          <w:tcPr>
            <w:tcW w:w="168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15"/>
                <w:szCs w:val="15"/>
                <w:color w:val="auto"/>
                <w:w w:val="93"/>
              </w:rPr>
              <w:t xml:space="preserve">402,967 </w:t>
            </w:r>
            <w:r>
              <w:rPr>
                <w:rFonts w:ascii="Times New Roman" w:cs="Times New Roman" w:eastAsia="Times New Roman" w:hAnsi="Times New Roman"/>
                <w:sz w:val="20"/>
                <w:szCs w:val="20"/>
                <w:color w:val="auto"/>
                <w:w w:val="93"/>
                <w:vertAlign w:val="superscript"/>
              </w:rPr>
              <w:t>(4)</w:t>
            </w:r>
          </w:p>
        </w:tc>
        <w:tc>
          <w:tcPr>
            <w:tcW w:w="214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15"/>
                <w:szCs w:val="15"/>
                <w:color w:val="auto"/>
                <w:w w:val="96"/>
              </w:rPr>
              <w:t xml:space="preserve">222,166 </w:t>
            </w:r>
            <w:r>
              <w:rPr>
                <w:rFonts w:ascii="Times New Roman" w:cs="Times New Roman" w:eastAsia="Times New Roman" w:hAnsi="Times New Roman"/>
                <w:sz w:val="20"/>
                <w:szCs w:val="20"/>
                <w:color w:val="auto"/>
                <w:w w:val="96"/>
                <w:vertAlign w:val="superscript"/>
              </w:rPr>
              <w:t>(5)</w:t>
            </w:r>
          </w:p>
        </w:tc>
        <w:tc>
          <w:tcPr>
            <w:tcW w:w="214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15"/>
                <w:szCs w:val="15"/>
                <w:color w:val="auto"/>
                <w:w w:val="96"/>
              </w:rPr>
              <w:t xml:space="preserve">500,338 </w:t>
            </w:r>
            <w:r>
              <w:rPr>
                <w:rFonts w:ascii="Times New Roman" w:cs="Times New Roman" w:eastAsia="Times New Roman" w:hAnsi="Times New Roman"/>
                <w:sz w:val="20"/>
                <w:szCs w:val="20"/>
                <w:color w:val="auto"/>
                <w:w w:val="96"/>
                <w:vertAlign w:val="superscript"/>
              </w:rPr>
              <w:t>(6)</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spacing w:after="0"/>
              <w:rPr>
                <w:sz w:val="17"/>
                <w:szCs w:val="17"/>
                <w:color w:val="auto"/>
              </w:rPr>
            </w:pPr>
          </w:p>
        </w:tc>
        <w:tc>
          <w:tcPr>
            <w:tcW w:w="2600" w:type="dxa"/>
            <w:vAlign w:val="bottom"/>
            <w:shd w:val="clear" w:color="auto" w:fill="CCEEFF"/>
          </w:tcPr>
          <w:p>
            <w:pPr>
              <w:ind w:left="40"/>
              <w:spacing w:after="0" w:line="207" w:lineRule="exact"/>
              <w:rPr>
                <w:sz w:val="20"/>
                <w:szCs w:val="20"/>
                <w:color w:val="auto"/>
              </w:rPr>
            </w:pPr>
            <w:r>
              <w:rPr>
                <w:rFonts w:ascii="Times New Roman" w:cs="Times New Roman" w:eastAsia="Times New Roman" w:hAnsi="Times New Roman"/>
                <w:sz w:val="15"/>
                <w:szCs w:val="15"/>
                <w:color w:val="auto"/>
              </w:rPr>
              <w:t xml:space="preserve">Health Benefits </w:t>
            </w:r>
            <w:r>
              <w:rPr>
                <w:rFonts w:ascii="Times New Roman" w:cs="Times New Roman" w:eastAsia="Times New Roman" w:hAnsi="Times New Roman"/>
                <w:sz w:val="20"/>
                <w:szCs w:val="20"/>
                <w:color w:val="auto"/>
                <w:vertAlign w:val="superscript"/>
              </w:rPr>
              <w:t>(3)</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14,462</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14,462</w:t>
            </w:r>
          </w:p>
        </w:tc>
        <w:tc>
          <w:tcPr>
            <w:tcW w:w="0" w:type="dxa"/>
            <w:vAlign w:val="bottom"/>
          </w:tcPr>
          <w:p>
            <w:pPr>
              <w:spacing w:after="0"/>
              <w:rPr>
                <w:sz w:val="1"/>
                <w:szCs w:val="1"/>
                <w:color w:val="auto"/>
              </w:rPr>
            </w:pPr>
          </w:p>
        </w:tc>
      </w:tr>
      <w:tr>
        <w:trPr>
          <w:trHeight w:val="207"/>
        </w:trPr>
        <w:tc>
          <w:tcPr>
            <w:tcW w:w="2660" w:type="dxa"/>
            <w:vAlign w:val="bottom"/>
          </w:tcPr>
          <w:p>
            <w:pPr>
              <w:ind w:left="60"/>
              <w:spacing w:after="0" w:line="207" w:lineRule="exact"/>
              <w:rPr>
                <w:sz w:val="20"/>
                <w:szCs w:val="20"/>
                <w:color w:val="auto"/>
              </w:rPr>
            </w:pPr>
            <w:r>
              <w:rPr>
                <w:rFonts w:ascii="Times New Roman" w:cs="Times New Roman" w:eastAsia="Times New Roman" w:hAnsi="Times New Roman"/>
                <w:sz w:val="15"/>
                <w:szCs w:val="15"/>
                <w:color w:val="auto"/>
              </w:rPr>
              <w:t xml:space="preserve">Harrison R. Bane </w:t>
            </w:r>
            <w:r>
              <w:rPr>
                <w:rFonts w:ascii="Times New Roman" w:cs="Times New Roman" w:eastAsia="Times New Roman" w:hAnsi="Times New Roman"/>
                <w:sz w:val="20"/>
                <w:szCs w:val="20"/>
                <w:color w:val="auto"/>
                <w:vertAlign w:val="superscript"/>
              </w:rPr>
              <w:t>(1)</w:t>
            </w:r>
          </w:p>
        </w:tc>
        <w:tc>
          <w:tcPr>
            <w:tcW w:w="26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Severance</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00"/>
        </w:trPr>
        <w:tc>
          <w:tcPr>
            <w:tcW w:w="2660" w:type="dxa"/>
            <w:vAlign w:val="bottom"/>
          </w:tcPr>
          <w:p>
            <w:pPr>
              <w:spacing w:after="0"/>
              <w:rPr>
                <w:sz w:val="17"/>
                <w:szCs w:val="17"/>
                <w:color w:val="auto"/>
              </w:rPr>
            </w:pPr>
          </w:p>
        </w:tc>
        <w:tc>
          <w:tcPr>
            <w:tcW w:w="26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Equity Payout / Acceleration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06"/>
        </w:trPr>
        <w:tc>
          <w:tcPr>
            <w:tcW w:w="2660" w:type="dxa"/>
            <w:vAlign w:val="bottom"/>
          </w:tcPr>
          <w:p>
            <w:pPr>
              <w:spacing w:after="0"/>
              <w:rPr>
                <w:sz w:val="17"/>
                <w:szCs w:val="17"/>
                <w:color w:val="auto"/>
              </w:rPr>
            </w:pPr>
          </w:p>
        </w:tc>
        <w:tc>
          <w:tcPr>
            <w:tcW w:w="26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Health Benefits</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00" w:hanging="297"/>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Bane resigned as our President, National Group effective October 3, 2025.</w:t>
      </w:r>
    </w:p>
    <w:p>
      <w:pPr>
        <w:spacing w:after="0" w:line="62" w:lineRule="exact"/>
        <w:rPr>
          <w:rFonts w:ascii="Times New Roman" w:cs="Times New Roman" w:eastAsia="Times New Roman" w:hAnsi="Times New Roman"/>
          <w:sz w:val="17"/>
          <w:szCs w:val="17"/>
          <w:color w:val="auto"/>
        </w:rPr>
      </w:pPr>
    </w:p>
    <w:p>
      <w:pPr>
        <w:ind w:left="320" w:right="180" w:hanging="317"/>
        <w:spacing w:after="0" w:line="254" w:lineRule="auto"/>
        <w:tabs>
          <w:tab w:leader="none" w:pos="31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 amount equal to (a) 12 months of base salary continuation, and (b) the executive's target bonus for the year of termination. Under each of the continuing NEO's employment agreements, if a qualifying termination occurs within 12 months following a change in control, the executive is entitled to be paid the severance benefits described above in a single lump-sum payment no later than 30 days following termination.</w:t>
      </w:r>
    </w:p>
    <w:p>
      <w:pPr>
        <w:spacing w:after="0" w:line="2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dollar value of 12 months Company-paid continued health and welfare benefits.</w:t>
      </w:r>
    </w:p>
    <w:p>
      <w:pPr>
        <w:spacing w:after="0" w:line="49" w:lineRule="exact"/>
        <w:rPr>
          <w:rFonts w:ascii="Times New Roman" w:cs="Times New Roman" w:eastAsia="Times New Roman" w:hAnsi="Times New Roman"/>
          <w:sz w:val="17"/>
          <w:szCs w:val="17"/>
          <w:color w:val="auto"/>
        </w:rPr>
      </w:pPr>
    </w:p>
    <w:p>
      <w:pPr>
        <w:jc w:val="both"/>
        <w:ind w:left="320" w:right="20" w:hanging="317"/>
        <w:spacing w:after="0" w:line="262" w:lineRule="auto"/>
        <w:tabs>
          <w:tab w:leader="none" w:pos="31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value of the unvested portion of the NEO's time-based restricted stock awards and the value of the unvested portion of the NEO's earned PSUs, in each case, as of December 31, 2025. The value of the awards is calculated by multiplying the number of shares of Company stock subject to acceleration by $15.45, the closing price of our common stock on December 31, 2025.</w:t>
      </w:r>
    </w:p>
    <w:p>
      <w:pPr>
        <w:spacing w:after="0" w:line="4" w:lineRule="exact"/>
        <w:rPr>
          <w:rFonts w:ascii="Times New Roman" w:cs="Times New Roman" w:eastAsia="Times New Roman" w:hAnsi="Times New Roman"/>
          <w:sz w:val="17"/>
          <w:szCs w:val="17"/>
          <w:color w:val="auto"/>
        </w:rPr>
      </w:pPr>
    </w:p>
    <w:p>
      <w:pPr>
        <w:ind w:left="320" w:right="120" w:hanging="317"/>
        <w:spacing w:after="0" w:line="254" w:lineRule="auto"/>
        <w:tabs>
          <w:tab w:leader="none" w:pos="31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value of the NEO's restricted stock awards and earned PSUs that are subject to time-vesting conditions, in each case, as if vesting occurred on December 31, 2025 (but not with respect to awards with time-vesting conditions that would be satisfied after December 31, 2026). The value of the restricted stock awards and PSUs is calculated by multiplying the number of shares of Company stock subject to acceleration by $15.45, the closing price of our common stock on December 31, 2025.</w:t>
      </w:r>
    </w:p>
    <w:p>
      <w:pPr>
        <w:spacing w:after="0" w:line="10" w:lineRule="exact"/>
        <w:rPr>
          <w:rFonts w:ascii="Times New Roman" w:cs="Times New Roman" w:eastAsia="Times New Roman" w:hAnsi="Times New Roman"/>
          <w:sz w:val="17"/>
          <w:szCs w:val="17"/>
          <w:color w:val="auto"/>
        </w:rPr>
      </w:pPr>
    </w:p>
    <w:p>
      <w:pPr>
        <w:ind w:left="320" w:right="180" w:hanging="317"/>
        <w:spacing w:after="0" w:line="254" w:lineRule="auto"/>
        <w:tabs>
          <w:tab w:leader="none" w:pos="31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value of the unvested portion of all of the NEO’s time-based restricted stock awards and PSUs based on the extent to which the performance criteria has been satisfied and the number of PSUs that have been earned as of December 31, 2025 (which is prorated based on the number of days that have elapsed during the performance period). The value of the restricted stock awards and PSUs is calculated by multiplying the number of shares of Company stock subject to acceleration by $15.45, the closing price of our common stock on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CEO Pay Ratio</w:t>
      </w:r>
    </w:p>
    <w:p>
      <w:pPr>
        <w:spacing w:after="0" w:line="169" w:lineRule="exact"/>
        <w:rPr>
          <w:sz w:val="20"/>
          <w:szCs w:val="20"/>
          <w:color w:val="auto"/>
        </w:rPr>
      </w:pPr>
    </w:p>
    <w:p>
      <w:pPr>
        <w:jc w:val="both"/>
        <w:ind w:right="80" w:firstLine="309"/>
        <w:spacing w:after="0" w:line="254" w:lineRule="auto"/>
        <w:rPr>
          <w:sz w:val="20"/>
          <w:szCs w:val="20"/>
          <w:color w:val="auto"/>
        </w:rPr>
      </w:pPr>
      <w:r>
        <w:rPr>
          <w:rFonts w:ascii="Times New Roman" w:cs="Times New Roman" w:eastAsia="Times New Roman" w:hAnsi="Times New Roman"/>
          <w:sz w:val="17"/>
          <w:szCs w:val="17"/>
          <w:color w:val="auto"/>
        </w:rPr>
        <w:t>As required by Section 953(b) of the Dodd-Frank Wall Street Reform and Consumer Protection Act, and Item 402(u) of Regulation S-K, we are providing the following information regarding the ratio of total annual compensation for Mr. Evans, our Chief Executive Officer, to the median of the annual total compensation of all our employees (other than the Chief Executive Officer) (the "CEO Pay Ratio"). For 2025:</w:t>
      </w:r>
    </w:p>
    <w:p>
      <w:pPr>
        <w:spacing w:after="0" w:line="127" w:lineRule="exact"/>
        <w:rPr>
          <w:sz w:val="20"/>
          <w:szCs w:val="20"/>
          <w:color w:val="auto"/>
        </w:rPr>
      </w:pPr>
    </w:p>
    <w:p>
      <w:pPr>
        <w:ind w:left="620" w:hanging="307"/>
        <w:spacing w:after="0"/>
        <w:tabs>
          <w:tab w:leader="none" w:pos="6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Total annual compensation for Mr. Evans: $6,083,862</w:t>
      </w:r>
    </w:p>
    <w:p>
      <w:pPr>
        <w:spacing w:after="0" w:line="165"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Median annual total compensation of all employees (other than Chief Executive Officer): $54,477</w:t>
      </w:r>
    </w:p>
    <w:p>
      <w:pPr>
        <w:spacing w:after="0" w:line="165" w:lineRule="exact"/>
        <w:rPr>
          <w:rFonts w:ascii="Times New Roman" w:cs="Times New Roman" w:eastAsia="Times New Roman" w:hAnsi="Times New Roman"/>
          <w:sz w:val="15"/>
          <w:szCs w:val="15"/>
          <w:color w:val="auto"/>
        </w:rPr>
      </w:pPr>
    </w:p>
    <w:p>
      <w:pPr>
        <w:ind w:left="620" w:right="34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Ratio of the annual total compensation of the Chief Executive Officer to the median of the annual total compensation of all employees (other than the Chief Executive Officer): 112:1</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determining the median employee, we chose December 31, 2025 as the date to identify our median employee, and we identified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7"/>
          <w:szCs w:val="17"/>
          <w:color w:val="auto"/>
        </w:rPr>
        <w:t>our median employee using a consistently applied compensation measure which included total gross payroll wages received in 2025. Our total employee population as of December 31, 2025 was approximately 16,000. After we identified our median employee, we measured the annual total compensation under SEC rules using: base salary earned in 2025, annual cash bonus earned for the 2025 performance year, the grant date value of any equity awards he or she received in 2025, and the 401(k) match provided by the Company in 2025, in each case, to the extent applicable. Pay was annualized for permanent employees not employed for a full year in 2025. We calculated the median employee's total annual compensation using the same methodology we used to calculate Mr. Evans’ annual total compensation, as reflected in the "Total" column of the Summary Compensation Table.</w:t>
      </w:r>
    </w:p>
    <w:p>
      <w:pPr>
        <w:spacing w:after="0" w:line="196" w:lineRule="exact"/>
        <w:rPr>
          <w:sz w:val="20"/>
          <w:szCs w:val="20"/>
          <w:color w:val="auto"/>
        </w:rPr>
      </w:pPr>
    </w:p>
    <w:p>
      <w:pPr>
        <w:ind w:right="120" w:firstLine="309"/>
        <w:spacing w:after="0" w:line="254" w:lineRule="auto"/>
        <w:rPr>
          <w:sz w:val="20"/>
          <w:szCs w:val="20"/>
          <w:color w:val="auto"/>
        </w:rPr>
      </w:pPr>
      <w:r>
        <w:rPr>
          <w:rFonts w:ascii="Times New Roman" w:cs="Times New Roman" w:eastAsia="Times New Roman" w:hAnsi="Times New Roman"/>
          <w:sz w:val="17"/>
          <w:szCs w:val="17"/>
          <w:color w:val="auto"/>
        </w:rPr>
        <w:t>This pay ratio is a reasonable estimate calculated in a manner consistent with SEC rules based on our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69" w:lineRule="exact"/>
        <w:rPr>
          <w:sz w:val="20"/>
          <w:szCs w:val="20"/>
          <w:color w:val="auto"/>
        </w:rPr>
      </w:pPr>
    </w:p>
    <w:p>
      <w:pPr>
        <w:ind w:right="120" w:firstLine="309"/>
        <w:spacing w:after="0" w:line="287" w:lineRule="auto"/>
        <w:rPr>
          <w:sz w:val="20"/>
          <w:szCs w:val="20"/>
          <w:color w:val="auto"/>
        </w:rPr>
      </w:pPr>
      <w:r>
        <w:rPr>
          <w:rFonts w:ascii="Times New Roman" w:cs="Times New Roman" w:eastAsia="Times New Roman" w:hAnsi="Times New Roman"/>
          <w:sz w:val="17"/>
          <w:szCs w:val="17"/>
          <w:color w:val="auto"/>
        </w:rPr>
        <w:t>The following sets forth certain information regarding compensation actually paid to our NEOs compared to certain measures of our financial performance for the years ended 2025, 2024, 2023, 2022 and 2021:</w:t>
      </w:r>
    </w:p>
    <w:p>
      <w:pPr>
        <w:spacing w:after="0" w:line="195" w:lineRule="exact"/>
        <w:rPr>
          <w:sz w:val="20"/>
          <w:szCs w:val="20"/>
          <w:color w:val="auto"/>
        </w:rPr>
      </w:pPr>
    </w:p>
    <w:tbl>
      <w:tblPr>
        <w:tblLayout w:type="fixed"/>
        <w:tblInd w:w="140" w:type="dxa"/>
        <w:tblCellMar>
          <w:top w:w="0" w:type="dxa"/>
          <w:left w:w="0" w:type="dxa"/>
          <w:bottom w:w="0" w:type="dxa"/>
          <w:right w:w="0" w:type="dxa"/>
        </w:tblCellMar>
      </w:tblPr>
      <w:tr>
        <w:trPr>
          <w:trHeight w:val="115"/>
        </w:trPr>
        <w:tc>
          <w:tcPr>
            <w:tcW w:w="10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Value of Initial Fixed $100 Investment Based</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jc w:val="center"/>
              <w:ind w:right="769"/>
              <w:spacing w:after="0"/>
              <w:rPr>
                <w:sz w:val="20"/>
                <w:szCs w:val="20"/>
                <w:color w:val="auto"/>
              </w:rPr>
            </w:pPr>
            <w:r>
              <w:rPr>
                <w:rFonts w:ascii="Times New Roman" w:cs="Times New Roman" w:eastAsia="Times New Roman" w:hAnsi="Times New Roman"/>
                <w:sz w:val="10"/>
                <w:szCs w:val="10"/>
                <w:b w:val="1"/>
                <w:bCs w:val="1"/>
                <w:color w:val="auto"/>
                <w:w w:val="95"/>
              </w:rPr>
              <w:t>On:</w:t>
            </w: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580" w:type="dxa"/>
            <w:vAlign w:val="bottom"/>
            <w:vMerge w:val="restart"/>
          </w:tcPr>
          <w:p>
            <w:pPr>
              <w:jc w:val="center"/>
              <w:ind w:left="108"/>
              <w:spacing w:after="0"/>
              <w:rPr>
                <w:sz w:val="20"/>
                <w:szCs w:val="20"/>
                <w:color w:val="auto"/>
              </w:rPr>
            </w:pPr>
            <w:r>
              <w:rPr>
                <w:rFonts w:ascii="Times New Roman" w:cs="Times New Roman" w:eastAsia="Times New Roman" w:hAnsi="Times New Roman"/>
                <w:sz w:val="12"/>
                <w:szCs w:val="12"/>
                <w:b w:val="1"/>
                <w:bCs w:val="1"/>
                <w:color w:val="auto"/>
                <w:w w:val="99"/>
              </w:rPr>
              <w:t>Summary Comp. Table</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Comp. Actually Paid to</w:t>
            </w:r>
          </w:p>
        </w:tc>
        <w:tc>
          <w:tcPr>
            <w:tcW w:w="14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rPr>
              <w:t>Average Summary Comp.</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Average Comp. Actually</w:t>
            </w: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Net Income (in</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0" w:type="dxa"/>
            <w:vAlign w:val="bottom"/>
          </w:tcPr>
          <w:p>
            <w:pPr>
              <w:spacing w:after="0"/>
              <w:rPr>
                <w:sz w:val="1"/>
                <w:szCs w:val="1"/>
                <w:color w:val="auto"/>
              </w:rPr>
            </w:pPr>
          </w:p>
        </w:tc>
      </w:tr>
      <w:tr>
        <w:trPr>
          <w:trHeight w:val="96"/>
        </w:trPr>
        <w:tc>
          <w:tcPr>
            <w:tcW w:w="104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420" w:type="dxa"/>
            <w:vAlign w:val="bottom"/>
          </w:tcPr>
          <w:p>
            <w:pPr>
              <w:jc w:val="center"/>
              <w:spacing w:after="0" w:line="116" w:lineRule="exact"/>
              <w:rPr>
                <w:sz w:val="20"/>
                <w:szCs w:val="20"/>
                <w:color w:val="auto"/>
              </w:rPr>
            </w:pPr>
            <w:r>
              <w:rPr>
                <w:rFonts w:ascii="Times New Roman" w:cs="Times New Roman" w:eastAsia="Times New Roman" w:hAnsi="Times New Roman"/>
                <w:sz w:val="12"/>
                <w:szCs w:val="12"/>
                <w:b w:val="1"/>
                <w:bCs w:val="1"/>
                <w:color w:val="auto"/>
                <w:w w:val="98"/>
              </w:rPr>
              <w:t>Table Total for Non-CEO</w:t>
            </w:r>
          </w:p>
        </w:tc>
        <w:tc>
          <w:tcPr>
            <w:tcW w:w="14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0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158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2"/>
                <w:szCs w:val="12"/>
                <w:b w:val="1"/>
                <w:bCs w:val="1"/>
                <w:color w:val="auto"/>
                <w:w w:val="96"/>
              </w:rPr>
              <w:t xml:space="preserve">Total for CEO </w:t>
            </w:r>
            <w:r>
              <w:rPr>
                <w:rFonts w:ascii="Times New Roman" w:cs="Times New Roman" w:eastAsia="Times New Roman" w:hAnsi="Times New Roman"/>
                <w:sz w:val="15"/>
                <w:szCs w:val="15"/>
                <w:b w:val="1"/>
                <w:bCs w:val="1"/>
                <w:color w:val="auto"/>
                <w:w w:val="96"/>
                <w:vertAlign w:val="superscript"/>
              </w:rPr>
              <w:t>(1)</w:t>
            </w:r>
          </w:p>
        </w:tc>
        <w:tc>
          <w:tcPr>
            <w:tcW w:w="136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20"/>
                <w:szCs w:val="20"/>
                <w:b w:val="1"/>
                <w:bCs w:val="1"/>
                <w:color w:val="auto"/>
                <w:w w:val="97"/>
                <w:vertAlign w:val="subscript"/>
              </w:rPr>
              <w:t>CEO</w:t>
            </w:r>
            <w:r>
              <w:rPr>
                <w:rFonts w:ascii="Times New Roman" w:cs="Times New Roman" w:eastAsia="Times New Roman" w:hAnsi="Times New Roman"/>
                <w:sz w:val="7"/>
                <w:szCs w:val="7"/>
                <w:b w:val="1"/>
                <w:bCs w:val="1"/>
                <w:color w:val="auto"/>
                <w:w w:val="97"/>
              </w:rPr>
              <w:t xml:space="preserve"> (2)</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NEOs</w:t>
            </w:r>
            <w:r>
              <w:rPr>
                <w:rFonts w:ascii="Times New Roman" w:cs="Times New Roman" w:eastAsia="Times New Roman" w:hAnsi="Times New Roman"/>
                <w:sz w:val="15"/>
                <w:szCs w:val="15"/>
                <w:b w:val="1"/>
                <w:bCs w:val="1"/>
                <w:color w:val="auto"/>
                <w:w w:val="89"/>
                <w:vertAlign w:val="superscript"/>
              </w:rPr>
              <w:t>(3)</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Paid to Non-CEO NEOs</w:t>
            </w:r>
            <w:r>
              <w:rPr>
                <w:rFonts w:ascii="Times New Roman" w:cs="Times New Roman" w:eastAsia="Times New Roman" w:hAnsi="Times New Roman"/>
                <w:sz w:val="15"/>
                <w:szCs w:val="15"/>
                <w:b w:val="1"/>
                <w:bCs w:val="1"/>
                <w:color w:val="auto"/>
                <w:w w:val="98"/>
                <w:vertAlign w:val="superscript"/>
              </w:rPr>
              <w:t>(4)</w:t>
            </w:r>
          </w:p>
        </w:tc>
        <w:tc>
          <w:tcPr>
            <w:tcW w:w="8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TSR</w:t>
            </w: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w w:val="99"/>
              </w:rPr>
              <w:t>Peer Group TSR</w:t>
            </w:r>
            <w:r>
              <w:rPr>
                <w:rFonts w:ascii="Times New Roman" w:cs="Times New Roman" w:eastAsia="Times New Roman" w:hAnsi="Times New Roman"/>
                <w:sz w:val="15"/>
                <w:szCs w:val="15"/>
                <w:b w:val="1"/>
                <w:bCs w:val="1"/>
                <w:color w:val="auto"/>
                <w:w w:val="99"/>
                <w:vertAlign w:val="superscript"/>
              </w:rPr>
              <w:t>(5)</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(in millions)</w:t>
            </w:r>
            <w:r>
              <w:rPr>
                <w:rFonts w:ascii="Times New Roman" w:cs="Times New Roman" w:eastAsia="Times New Roman" w:hAnsi="Times New Roman"/>
                <w:sz w:val="15"/>
                <w:szCs w:val="15"/>
                <w:b w:val="1"/>
                <w:bCs w:val="1"/>
                <w:color w:val="auto"/>
                <w:w w:val="95"/>
                <w:vertAlign w:val="superscript"/>
              </w:rPr>
              <w:t>(6)</w:t>
            </w:r>
          </w:p>
        </w:tc>
        <w:tc>
          <w:tcPr>
            <w:tcW w:w="0" w:type="dxa"/>
            <w:vAlign w:val="bottom"/>
          </w:tcPr>
          <w:p>
            <w:pPr>
              <w:spacing w:after="0"/>
              <w:rPr>
                <w:sz w:val="1"/>
                <w:szCs w:val="1"/>
                <w:color w:val="auto"/>
              </w:rPr>
            </w:pPr>
          </w:p>
        </w:tc>
      </w:tr>
      <w:tr>
        <w:trPr>
          <w:trHeight w:val="199"/>
        </w:trPr>
        <w:tc>
          <w:tcPr>
            <w:tcW w:w="1040" w:type="dxa"/>
            <w:vAlign w:val="bottom"/>
            <w:shd w:val="clear" w:color="auto" w:fill="CCEEFF"/>
          </w:tcPr>
          <w:p>
            <w:pPr>
              <w:jc w:val="center"/>
              <w:ind w:left="106"/>
              <w:spacing w:after="0"/>
              <w:rPr>
                <w:sz w:val="20"/>
                <w:szCs w:val="20"/>
                <w:color w:val="auto"/>
              </w:rPr>
            </w:pPr>
            <w:r>
              <w:rPr>
                <w:rFonts w:ascii="Times New Roman" w:cs="Times New Roman" w:eastAsia="Times New Roman" w:hAnsi="Times New Roman"/>
                <w:sz w:val="15"/>
                <w:szCs w:val="15"/>
                <w:color w:val="auto"/>
                <w:w w:val="99"/>
              </w:rPr>
              <w:t>2025</w:t>
            </w:r>
          </w:p>
        </w:tc>
        <w:tc>
          <w:tcPr>
            <w:tcW w:w="1580" w:type="dxa"/>
            <w:vAlign w:val="bottom"/>
            <w:shd w:val="clear" w:color="auto" w:fill="CCEEFF"/>
          </w:tcPr>
          <w:p>
            <w:pPr>
              <w:jc w:val="center"/>
              <w:ind w:left="128"/>
              <w:spacing w:after="0"/>
              <w:rPr>
                <w:sz w:val="20"/>
                <w:szCs w:val="20"/>
                <w:color w:val="auto"/>
              </w:rPr>
            </w:pPr>
            <w:r>
              <w:rPr>
                <w:rFonts w:ascii="Times New Roman" w:cs="Times New Roman" w:eastAsia="Times New Roman" w:hAnsi="Times New Roman"/>
                <w:sz w:val="15"/>
                <w:szCs w:val="15"/>
                <w:color w:val="auto"/>
              </w:rPr>
              <w:t>$6,083,862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$1,200,536</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$1,750,822</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$460,154</w:t>
            </w:r>
          </w:p>
        </w:tc>
        <w:tc>
          <w:tcPr>
            <w:tcW w:w="84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5"/>
                <w:szCs w:val="15"/>
                <w:color w:val="auto"/>
              </w:rPr>
              <w:t>$53.26</w:t>
            </w:r>
          </w:p>
        </w:tc>
        <w:tc>
          <w:tcPr>
            <w:tcW w:w="1240" w:type="dxa"/>
            <w:vAlign w:val="bottom"/>
            <w:shd w:val="clear" w:color="auto" w:fill="CCEEFF"/>
          </w:tcPr>
          <w:p>
            <w:pPr>
              <w:jc w:val="center"/>
              <w:ind w:left="149"/>
              <w:spacing w:after="0"/>
              <w:rPr>
                <w:sz w:val="20"/>
                <w:szCs w:val="20"/>
                <w:color w:val="auto"/>
              </w:rPr>
            </w:pPr>
            <w:r>
              <w:rPr>
                <w:rFonts w:ascii="Times New Roman" w:cs="Times New Roman" w:eastAsia="Times New Roman" w:hAnsi="Times New Roman"/>
                <w:sz w:val="15"/>
                <w:szCs w:val="15"/>
                <w:color w:val="auto"/>
              </w:rPr>
              <w:t>$103.28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$98.9</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$526.2</w:t>
            </w:r>
          </w:p>
        </w:tc>
        <w:tc>
          <w:tcPr>
            <w:tcW w:w="0" w:type="dxa"/>
            <w:vAlign w:val="bottom"/>
          </w:tcPr>
          <w:p>
            <w:pPr>
              <w:spacing w:after="0"/>
              <w:rPr>
                <w:sz w:val="1"/>
                <w:szCs w:val="1"/>
                <w:color w:val="auto"/>
              </w:rPr>
            </w:pPr>
          </w:p>
        </w:tc>
      </w:tr>
      <w:tr>
        <w:trPr>
          <w:trHeight w:val="203"/>
        </w:trPr>
        <w:tc>
          <w:tcPr>
            <w:tcW w:w="1040" w:type="dxa"/>
            <w:vAlign w:val="bottom"/>
          </w:tcPr>
          <w:p>
            <w:pPr>
              <w:jc w:val="center"/>
              <w:ind w:left="106"/>
              <w:spacing w:after="0"/>
              <w:rPr>
                <w:sz w:val="20"/>
                <w:szCs w:val="20"/>
                <w:color w:val="auto"/>
              </w:rPr>
            </w:pPr>
            <w:r>
              <w:rPr>
                <w:rFonts w:ascii="Times New Roman" w:cs="Times New Roman" w:eastAsia="Times New Roman" w:hAnsi="Times New Roman"/>
                <w:sz w:val="15"/>
                <w:szCs w:val="15"/>
                <w:color w:val="auto"/>
                <w:w w:val="99"/>
              </w:rPr>
              <w:t>2024</w:t>
            </w:r>
          </w:p>
        </w:tc>
        <w:tc>
          <w:tcPr>
            <w:tcW w:w="1580" w:type="dxa"/>
            <w:vAlign w:val="bottom"/>
          </w:tcPr>
          <w:p>
            <w:pPr>
              <w:jc w:val="center"/>
              <w:ind w:left="128"/>
              <w:spacing w:after="0"/>
              <w:rPr>
                <w:sz w:val="20"/>
                <w:szCs w:val="20"/>
                <w:color w:val="auto"/>
              </w:rPr>
            </w:pPr>
            <w:r>
              <w:rPr>
                <w:rFonts w:ascii="Times New Roman" w:cs="Times New Roman" w:eastAsia="Times New Roman" w:hAnsi="Times New Roman"/>
                <w:sz w:val="15"/>
                <w:szCs w:val="15"/>
                <w:color w:val="auto"/>
              </w:rPr>
              <w:t>6,461,203</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3,271,752</w:t>
            </w: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2,309,915</w:t>
            </w: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1,326,577</w:t>
            </w:r>
          </w:p>
        </w:tc>
        <w:tc>
          <w:tcPr>
            <w:tcW w:w="840" w:type="dxa"/>
            <w:vAlign w:val="bottom"/>
          </w:tcPr>
          <w:p>
            <w:pPr>
              <w:jc w:val="center"/>
              <w:ind w:left="129"/>
              <w:spacing w:after="0"/>
              <w:rPr>
                <w:sz w:val="20"/>
                <w:szCs w:val="20"/>
                <w:color w:val="auto"/>
              </w:rPr>
            </w:pPr>
            <w:r>
              <w:rPr>
                <w:rFonts w:ascii="Times New Roman" w:cs="Times New Roman" w:eastAsia="Times New Roman" w:hAnsi="Times New Roman"/>
                <w:sz w:val="15"/>
                <w:szCs w:val="15"/>
                <w:color w:val="auto"/>
              </w:rPr>
              <w:t>72.97</w:t>
            </w:r>
          </w:p>
        </w:tc>
        <w:tc>
          <w:tcPr>
            <w:tcW w:w="1240" w:type="dxa"/>
            <w:vAlign w:val="bottom"/>
          </w:tcPr>
          <w:p>
            <w:pPr>
              <w:jc w:val="center"/>
              <w:ind w:left="149"/>
              <w:spacing w:after="0"/>
              <w:rPr>
                <w:sz w:val="20"/>
                <w:szCs w:val="20"/>
                <w:color w:val="auto"/>
              </w:rPr>
            </w:pPr>
            <w:r>
              <w:rPr>
                <w:rFonts w:ascii="Times New Roman" w:cs="Times New Roman" w:eastAsia="Times New Roman" w:hAnsi="Times New Roman"/>
                <w:sz w:val="15"/>
                <w:szCs w:val="15"/>
                <w:color w:val="auto"/>
              </w:rPr>
              <w:t>114.17</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12.5</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508.2</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jc w:val="center"/>
              <w:ind w:left="106"/>
              <w:spacing w:after="0"/>
              <w:rPr>
                <w:sz w:val="20"/>
                <w:szCs w:val="20"/>
                <w:color w:val="auto"/>
              </w:rPr>
            </w:pPr>
            <w:r>
              <w:rPr>
                <w:rFonts w:ascii="Times New Roman" w:cs="Times New Roman" w:eastAsia="Times New Roman" w:hAnsi="Times New Roman"/>
                <w:sz w:val="15"/>
                <w:szCs w:val="15"/>
                <w:color w:val="auto"/>
                <w:w w:val="99"/>
              </w:rPr>
              <w:t>2023</w:t>
            </w:r>
          </w:p>
        </w:tc>
        <w:tc>
          <w:tcPr>
            <w:tcW w:w="1580" w:type="dxa"/>
            <w:vAlign w:val="bottom"/>
            <w:shd w:val="clear" w:color="auto" w:fill="CCEEFF"/>
          </w:tcPr>
          <w:p>
            <w:pPr>
              <w:jc w:val="center"/>
              <w:ind w:left="128"/>
              <w:spacing w:after="0"/>
              <w:rPr>
                <w:sz w:val="20"/>
                <w:szCs w:val="20"/>
                <w:color w:val="auto"/>
              </w:rPr>
            </w:pPr>
            <w:r>
              <w:rPr>
                <w:rFonts w:ascii="Times New Roman" w:cs="Times New Roman" w:eastAsia="Times New Roman" w:hAnsi="Times New Roman"/>
                <w:sz w:val="15"/>
                <w:szCs w:val="15"/>
                <w:color w:val="auto"/>
              </w:rPr>
              <w:t>6,457,600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7,260,168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2,473,172</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2,646,951</w:t>
            </w:r>
          </w:p>
        </w:tc>
        <w:tc>
          <w:tcPr>
            <w:tcW w:w="840" w:type="dxa"/>
            <w:vAlign w:val="bottom"/>
            <w:shd w:val="clear" w:color="auto" w:fill="CCEEFF"/>
          </w:tcPr>
          <w:p>
            <w:pPr>
              <w:jc w:val="center"/>
              <w:ind w:left="149"/>
              <w:spacing w:after="0"/>
              <w:rPr>
                <w:sz w:val="20"/>
                <w:szCs w:val="20"/>
                <w:color w:val="auto"/>
              </w:rPr>
            </w:pPr>
            <w:r>
              <w:rPr>
                <w:rFonts w:ascii="Times New Roman" w:cs="Times New Roman" w:eastAsia="Times New Roman" w:hAnsi="Times New Roman"/>
                <w:sz w:val="15"/>
                <w:szCs w:val="15"/>
                <w:color w:val="auto"/>
              </w:rPr>
              <w:t>110.27</w:t>
            </w:r>
          </w:p>
        </w:tc>
        <w:tc>
          <w:tcPr>
            <w:tcW w:w="1240" w:type="dxa"/>
            <w:vAlign w:val="bottom"/>
            <w:shd w:val="clear" w:color="auto" w:fill="CCEEFF"/>
          </w:tcPr>
          <w:p>
            <w:pPr>
              <w:jc w:val="center"/>
              <w:ind w:left="149"/>
              <w:spacing w:after="0"/>
              <w:rPr>
                <w:sz w:val="20"/>
                <w:szCs w:val="20"/>
                <w:color w:val="auto"/>
              </w:rPr>
            </w:pPr>
            <w:r>
              <w:rPr>
                <w:rFonts w:ascii="Times New Roman" w:cs="Times New Roman" w:eastAsia="Times New Roman" w:hAnsi="Times New Roman"/>
                <w:sz w:val="15"/>
                <w:szCs w:val="15"/>
                <w:color w:val="auto"/>
              </w:rPr>
              <w:t>126.93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135.3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438.1</w:t>
            </w:r>
          </w:p>
        </w:tc>
        <w:tc>
          <w:tcPr>
            <w:tcW w:w="0" w:type="dxa"/>
            <w:vAlign w:val="bottom"/>
          </w:tcPr>
          <w:p>
            <w:pPr>
              <w:spacing w:after="0"/>
              <w:rPr>
                <w:sz w:val="1"/>
                <w:szCs w:val="1"/>
                <w:color w:val="auto"/>
              </w:rPr>
            </w:pPr>
          </w:p>
        </w:tc>
      </w:tr>
      <w:tr>
        <w:trPr>
          <w:trHeight w:val="214"/>
        </w:trPr>
        <w:tc>
          <w:tcPr>
            <w:tcW w:w="1040" w:type="dxa"/>
            <w:vAlign w:val="bottom"/>
          </w:tcPr>
          <w:p>
            <w:pPr>
              <w:jc w:val="center"/>
              <w:ind w:left="106"/>
              <w:spacing w:after="0"/>
              <w:rPr>
                <w:sz w:val="20"/>
                <w:szCs w:val="20"/>
                <w:color w:val="auto"/>
              </w:rPr>
            </w:pPr>
            <w:r>
              <w:rPr>
                <w:rFonts w:ascii="Times New Roman" w:cs="Times New Roman" w:eastAsia="Times New Roman" w:hAnsi="Times New Roman"/>
                <w:sz w:val="15"/>
                <w:szCs w:val="15"/>
                <w:color w:val="auto"/>
                <w:w w:val="99"/>
              </w:rPr>
              <w:t>2022</w:t>
            </w:r>
          </w:p>
        </w:tc>
        <w:tc>
          <w:tcPr>
            <w:tcW w:w="1580" w:type="dxa"/>
            <w:vAlign w:val="bottom"/>
          </w:tcPr>
          <w:p>
            <w:pPr>
              <w:jc w:val="center"/>
              <w:ind w:left="128"/>
              <w:spacing w:after="0"/>
              <w:rPr>
                <w:sz w:val="20"/>
                <w:szCs w:val="20"/>
                <w:color w:val="auto"/>
              </w:rPr>
            </w:pPr>
            <w:r>
              <w:rPr>
                <w:rFonts w:ascii="Times New Roman" w:cs="Times New Roman" w:eastAsia="Times New Roman" w:hAnsi="Times New Roman"/>
                <w:sz w:val="15"/>
                <w:szCs w:val="15"/>
                <w:color w:val="auto"/>
              </w:rPr>
              <w:t>6,092,825</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(3,342,023)</w:t>
            </w: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1,670,372</w:t>
            </w: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(1,192,139)</w:t>
            </w:r>
          </w:p>
        </w:tc>
        <w:tc>
          <w:tcPr>
            <w:tcW w:w="840" w:type="dxa"/>
            <w:vAlign w:val="bottom"/>
          </w:tcPr>
          <w:p>
            <w:pPr>
              <w:jc w:val="center"/>
              <w:ind w:left="129"/>
              <w:spacing w:after="0"/>
              <w:rPr>
                <w:sz w:val="20"/>
                <w:szCs w:val="20"/>
                <w:color w:val="auto"/>
              </w:rPr>
            </w:pPr>
            <w:r>
              <w:rPr>
                <w:rFonts w:ascii="Times New Roman" w:cs="Times New Roman" w:eastAsia="Times New Roman" w:hAnsi="Times New Roman"/>
                <w:sz w:val="15"/>
                <w:szCs w:val="15"/>
                <w:color w:val="auto"/>
              </w:rPr>
              <w:t>96.04</w:t>
            </w:r>
          </w:p>
        </w:tc>
        <w:tc>
          <w:tcPr>
            <w:tcW w:w="1240" w:type="dxa"/>
            <w:vAlign w:val="bottom"/>
          </w:tcPr>
          <w:p>
            <w:pPr>
              <w:jc w:val="center"/>
              <w:ind w:left="149"/>
              <w:spacing w:after="0"/>
              <w:rPr>
                <w:sz w:val="20"/>
                <w:szCs w:val="20"/>
                <w:color w:val="auto"/>
              </w:rPr>
            </w:pPr>
            <w:r>
              <w:rPr>
                <w:rFonts w:ascii="Times New Roman" w:cs="Times New Roman" w:eastAsia="Times New Roman" w:hAnsi="Times New Roman"/>
                <w:sz w:val="15"/>
                <w:szCs w:val="15"/>
                <w:color w:val="auto"/>
              </w:rPr>
              <w:t>132.08</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87.0</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380.2</w:t>
            </w:r>
          </w:p>
        </w:tc>
        <w:tc>
          <w:tcPr>
            <w:tcW w:w="0" w:type="dxa"/>
            <w:vAlign w:val="bottom"/>
          </w:tcPr>
          <w:p>
            <w:pPr>
              <w:spacing w:after="0"/>
              <w:rPr>
                <w:sz w:val="1"/>
                <w:szCs w:val="1"/>
                <w:color w:val="auto"/>
              </w:rPr>
            </w:pPr>
          </w:p>
        </w:tc>
      </w:tr>
      <w:tr>
        <w:trPr>
          <w:trHeight w:val="31"/>
        </w:trPr>
        <w:tc>
          <w:tcPr>
            <w:tcW w:w="1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040" w:type="dxa"/>
            <w:vAlign w:val="bottom"/>
            <w:shd w:val="clear" w:color="auto" w:fill="CCEEFF"/>
          </w:tcPr>
          <w:p>
            <w:pPr>
              <w:jc w:val="center"/>
              <w:ind w:left="106"/>
              <w:spacing w:after="0"/>
              <w:rPr>
                <w:sz w:val="20"/>
                <w:szCs w:val="20"/>
                <w:color w:val="auto"/>
              </w:rPr>
            </w:pPr>
            <w:r>
              <w:rPr>
                <w:rFonts w:ascii="Times New Roman" w:cs="Times New Roman" w:eastAsia="Times New Roman" w:hAnsi="Times New Roman"/>
                <w:sz w:val="15"/>
                <w:szCs w:val="15"/>
                <w:color w:val="auto"/>
                <w:w w:val="99"/>
              </w:rPr>
              <w:t>2021</w:t>
            </w:r>
          </w:p>
        </w:tc>
        <w:tc>
          <w:tcPr>
            <w:tcW w:w="1580" w:type="dxa"/>
            <w:vAlign w:val="bottom"/>
            <w:shd w:val="clear" w:color="auto" w:fill="CCEEFF"/>
          </w:tcPr>
          <w:p>
            <w:pPr>
              <w:jc w:val="center"/>
              <w:ind w:left="128"/>
              <w:spacing w:after="0"/>
              <w:rPr>
                <w:sz w:val="20"/>
                <w:szCs w:val="20"/>
                <w:color w:val="auto"/>
              </w:rPr>
            </w:pPr>
            <w:r>
              <w:rPr>
                <w:rFonts w:ascii="Times New Roman" w:cs="Times New Roman" w:eastAsia="Times New Roman" w:hAnsi="Times New Roman"/>
                <w:sz w:val="15"/>
                <w:szCs w:val="15"/>
                <w:color w:val="auto"/>
              </w:rPr>
              <w:t>4,307,123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14,217,126</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1,541,025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6,060,779</w:t>
            </w:r>
          </w:p>
        </w:tc>
        <w:tc>
          <w:tcPr>
            <w:tcW w:w="840" w:type="dxa"/>
            <w:vAlign w:val="bottom"/>
            <w:shd w:val="clear" w:color="auto" w:fill="CCEEFF"/>
          </w:tcPr>
          <w:p>
            <w:pPr>
              <w:jc w:val="center"/>
              <w:ind w:left="149"/>
              <w:spacing w:after="0"/>
              <w:rPr>
                <w:sz w:val="20"/>
                <w:szCs w:val="20"/>
                <w:color w:val="auto"/>
              </w:rPr>
            </w:pPr>
            <w:r>
              <w:rPr>
                <w:rFonts w:ascii="Times New Roman" w:cs="Times New Roman" w:eastAsia="Times New Roman" w:hAnsi="Times New Roman"/>
                <w:sz w:val="15"/>
                <w:szCs w:val="15"/>
                <w:color w:val="auto"/>
              </w:rPr>
              <w:t>184.11</w:t>
            </w:r>
          </w:p>
        </w:tc>
        <w:tc>
          <w:tcPr>
            <w:tcW w:w="1240" w:type="dxa"/>
            <w:vAlign w:val="bottom"/>
            <w:shd w:val="clear" w:color="auto" w:fill="CCEEFF"/>
          </w:tcPr>
          <w:p>
            <w:pPr>
              <w:jc w:val="center"/>
              <w:ind w:left="149"/>
              <w:spacing w:after="0"/>
              <w:rPr>
                <w:sz w:val="20"/>
                <w:szCs w:val="20"/>
                <w:color w:val="auto"/>
              </w:rPr>
            </w:pPr>
            <w:r>
              <w:rPr>
                <w:rFonts w:ascii="Times New Roman" w:cs="Times New Roman" w:eastAsia="Times New Roman" w:hAnsi="Times New Roman"/>
                <w:sz w:val="15"/>
                <w:szCs w:val="15"/>
                <w:color w:val="auto"/>
              </w:rPr>
              <w:t>130.55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70.7</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339.6</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00" w:hanging="297"/>
        <w:spacing w:after="0"/>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compensation amounts reported in the Summary Compensation Table for our CEO.</w:t>
      </w:r>
    </w:p>
    <w:p>
      <w:pPr>
        <w:spacing w:after="0" w:line="101" w:lineRule="exact"/>
        <w:rPr>
          <w:rFonts w:ascii="Times New Roman" w:cs="Times New Roman" w:eastAsia="Times New Roman" w:hAnsi="Times New Roman"/>
          <w:sz w:val="17"/>
          <w:szCs w:val="17"/>
          <w:color w:val="auto"/>
        </w:rPr>
      </w:pPr>
    </w:p>
    <w:p>
      <w:pPr>
        <w:ind w:left="320" w:right="180" w:hanging="317"/>
        <w:spacing w:after="0" w:line="271" w:lineRule="auto"/>
        <w:tabs>
          <w:tab w:leader="none" w:pos="31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Actually Paid to CEO” in each of 2025, 2024, 2023, 2022 and 2021 reflects the respective Summary Compensation Table total adjusted as set forth in the table below, as determined in accordance with SEC rules.</w:t>
      </w:r>
    </w:p>
    <w:p>
      <w:pPr>
        <w:spacing w:after="0" w:line="92" w:lineRule="exact"/>
        <w:rPr>
          <w:sz w:val="20"/>
          <w:szCs w:val="20"/>
          <w:color w:val="auto"/>
        </w:rPr>
      </w:pPr>
    </w:p>
    <w:tbl>
      <w:tblPr>
        <w:tblLayout w:type="fixed"/>
        <w:tblInd w:w="620" w:type="dxa"/>
        <w:tblCellMar>
          <w:top w:w="0" w:type="dxa"/>
          <w:left w:w="0" w:type="dxa"/>
          <w:bottom w:w="0" w:type="dxa"/>
          <w:right w:w="0" w:type="dxa"/>
        </w:tblCellMar>
      </w:tblPr>
      <w:tr>
        <w:trPr>
          <w:trHeight w:val="208"/>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94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
        </w:trPr>
        <w:tc>
          <w:tcPr>
            <w:tcW w:w="5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$4,307,123</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$6,092,825</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$6,457,600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$6,461,203</w:t>
            </w:r>
          </w:p>
        </w:tc>
        <w:tc>
          <w:tcPr>
            <w:tcW w:w="94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8"/>
              </w:rPr>
              <w:t>$6,083,862</w:t>
            </w:r>
          </w:p>
        </w:tc>
        <w:tc>
          <w:tcPr>
            <w:tcW w:w="0" w:type="dxa"/>
            <w:vAlign w:val="bottom"/>
          </w:tcPr>
          <w:p>
            <w:pPr>
              <w:spacing w:after="0"/>
              <w:rPr>
                <w:sz w:val="1"/>
                <w:szCs w:val="1"/>
                <w:color w:val="auto"/>
              </w:rPr>
            </w:pPr>
          </w:p>
        </w:tc>
      </w:tr>
      <w:tr>
        <w:trPr>
          <w:trHeight w:val="186"/>
        </w:trPr>
        <w:tc>
          <w:tcPr>
            <w:tcW w:w="5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Less: Equity Award Amounts Reported in Summary Compensation Table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(2,500,000)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(4,645,000)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(4,400,000)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(5,100,000)</w:t>
            </w:r>
          </w:p>
        </w:tc>
        <w:tc>
          <w:tcPr>
            <w:tcW w:w="94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7"/>
              </w:rPr>
              <w:t>(5,000,000)</w:t>
            </w:r>
          </w:p>
        </w:tc>
        <w:tc>
          <w:tcPr>
            <w:tcW w:w="0" w:type="dxa"/>
            <w:vAlign w:val="bottom"/>
          </w:tcPr>
          <w:p>
            <w:pPr>
              <w:spacing w:after="0"/>
              <w:rPr>
                <w:sz w:val="1"/>
                <w:szCs w:val="1"/>
                <w:color w:val="auto"/>
              </w:rPr>
            </w:pPr>
          </w:p>
        </w:tc>
      </w:tr>
      <w:tr>
        <w:trPr>
          <w:trHeight w:val="201"/>
        </w:trPr>
        <w:tc>
          <w:tcPr>
            <w:tcW w:w="5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Add: Fair Value of Current Year Equity Awards Outstanding/Unvested at Year End</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3,175,972</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2,062,532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4,283,461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2,987,405</w:t>
            </w:r>
          </w:p>
        </w:tc>
        <w:tc>
          <w:tcPr>
            <w:tcW w:w="94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3,245,782</w:t>
            </w:r>
          </w:p>
        </w:tc>
        <w:tc>
          <w:tcPr>
            <w:tcW w:w="0" w:type="dxa"/>
            <w:vAlign w:val="bottom"/>
          </w:tcPr>
          <w:p>
            <w:pPr>
              <w:spacing w:after="0"/>
              <w:rPr>
                <w:sz w:val="1"/>
                <w:szCs w:val="1"/>
                <w:color w:val="auto"/>
              </w:rPr>
            </w:pPr>
          </w:p>
        </w:tc>
      </w:tr>
      <w:tr>
        <w:trPr>
          <w:trHeight w:val="129"/>
        </w:trPr>
        <w:tc>
          <w:tcPr>
            <w:tcW w:w="544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color w:val="auto"/>
                <w:w w:val="98"/>
              </w:rPr>
              <w:t>Add: Fair Value of Equity Awards to be Issued in Lieu of Cash Incentive Payments Earned in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645,000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700,000</w:t>
            </w:r>
          </w:p>
        </w:tc>
        <w:tc>
          <w:tcPr>
            <w:tcW w:w="940" w:type="dxa"/>
            <w:vAlign w:val="bottom"/>
            <w:vMerge w:val="restart"/>
          </w:tcPr>
          <w:p>
            <w:pPr>
              <w:jc w:val="center"/>
              <w:ind w:left="51"/>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6"/>
        </w:trPr>
        <w:tc>
          <w:tcPr>
            <w:tcW w:w="54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Current Year</w:t>
            </w:r>
          </w:p>
        </w:tc>
        <w:tc>
          <w:tcPr>
            <w:tcW w:w="10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4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5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Change in Value of Prior Years’ Awards Outstanding/Unvested at Year End</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8,437,390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(3,285,321)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336,661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(1,741,360)</w:t>
            </w:r>
          </w:p>
        </w:tc>
        <w:tc>
          <w:tcPr>
            <w:tcW w:w="94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7"/>
              </w:rPr>
              <w:t>(1,455,769)</w:t>
            </w:r>
          </w:p>
        </w:tc>
        <w:tc>
          <w:tcPr>
            <w:tcW w:w="0" w:type="dxa"/>
            <w:vAlign w:val="bottom"/>
          </w:tcPr>
          <w:p>
            <w:pPr>
              <w:spacing w:after="0"/>
              <w:rPr>
                <w:sz w:val="1"/>
                <w:szCs w:val="1"/>
                <w:color w:val="auto"/>
              </w:rPr>
            </w:pPr>
          </w:p>
        </w:tc>
      </w:tr>
      <w:tr>
        <w:trPr>
          <w:trHeight w:val="186"/>
        </w:trPr>
        <w:tc>
          <w:tcPr>
            <w:tcW w:w="5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Change in Value of Prior Years’ Awards That Vested in the Year</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4,620,973</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(4,212,059)</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582,446</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(35,496)</w:t>
            </w:r>
          </w:p>
        </w:tc>
        <w:tc>
          <w:tcPr>
            <w:tcW w:w="94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6"/>
              </w:rPr>
              <w:t>669,175</w:t>
            </w:r>
          </w:p>
        </w:tc>
        <w:tc>
          <w:tcPr>
            <w:tcW w:w="0" w:type="dxa"/>
            <w:vAlign w:val="bottom"/>
          </w:tcPr>
          <w:p>
            <w:pPr>
              <w:spacing w:after="0"/>
              <w:rPr>
                <w:sz w:val="1"/>
                <w:szCs w:val="1"/>
                <w:color w:val="auto"/>
              </w:rPr>
            </w:pPr>
          </w:p>
        </w:tc>
      </w:tr>
      <w:tr>
        <w:trPr>
          <w:trHeight w:val="201"/>
        </w:trPr>
        <w:tc>
          <w:tcPr>
            <w:tcW w:w="5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Less: Fair Value of Prior Years' Awards Forfeited in the Year</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6"/>
        </w:trPr>
        <w:tc>
          <w:tcPr>
            <w:tcW w:w="5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Less: Fair Value of Prior Years' Awards Failing to Meet Vesting Conditions</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(3,824,332)</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4"/>
                <w:szCs w:val="14"/>
                <w:color w:val="auto"/>
                <w:w w:val="97"/>
              </w:rPr>
              <w:t>(2,342,514)</w:t>
            </w:r>
          </w:p>
        </w:tc>
        <w:tc>
          <w:tcPr>
            <w:tcW w:w="0" w:type="dxa"/>
            <w:vAlign w:val="bottom"/>
          </w:tcPr>
          <w:p>
            <w:pPr>
              <w:spacing w:after="0"/>
              <w:rPr>
                <w:sz w:val="1"/>
                <w:szCs w:val="1"/>
                <w:color w:val="auto"/>
              </w:rPr>
            </w:pPr>
          </w:p>
        </w:tc>
      </w:tr>
      <w:tr>
        <w:trPr>
          <w:trHeight w:val="211"/>
        </w:trPr>
        <w:tc>
          <w:tcPr>
            <w:tcW w:w="5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$14,217,126</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$(3,342,023)</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$7,260,168</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$3,271,752</w:t>
            </w:r>
          </w:p>
        </w:tc>
        <w:tc>
          <w:tcPr>
            <w:tcW w:w="940" w:type="dxa"/>
            <w:vAlign w:val="bottom"/>
            <w:tcBorders>
              <w:bottom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8"/>
              </w:rPr>
              <w:t>$1,200,536</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20" w:right="540"/>
        <w:spacing w:after="0" w:line="254" w:lineRule="auto"/>
        <w:rPr>
          <w:sz w:val="20"/>
          <w:szCs w:val="20"/>
          <w:color w:val="auto"/>
        </w:rPr>
      </w:pPr>
      <w:r>
        <w:rPr>
          <w:rFonts w:ascii="Times New Roman" w:cs="Times New Roman" w:eastAsia="Times New Roman" w:hAnsi="Times New Roman"/>
          <w:sz w:val="17"/>
          <w:szCs w:val="17"/>
          <w:color w:val="auto"/>
        </w:rPr>
        <w:t>Fair value or change in fair value, as applicable, of equity awards was determined as follows: (1) for restricted stock awards and earned PSU awards, the closing price on applicable year-end date or, in the case of vesting, the closing price as of each vest date, (2) for unearned PSU awards, closing price on applicable year-end date multiplied by the probability of achievement as of each such date, and (3) for option awards, a Black-Scholes value as of the applicable year-end or vesting date(s), determined based on the same methodology as used to determine grant date fair value for the applicable grant.</w:t>
      </w:r>
    </w:p>
    <w:p>
      <w:pPr>
        <w:spacing w:after="0" w:line="75" w:lineRule="exact"/>
        <w:rPr>
          <w:sz w:val="20"/>
          <w:szCs w:val="20"/>
          <w:color w:val="auto"/>
        </w:rPr>
      </w:pPr>
    </w:p>
    <w:p>
      <w:pPr>
        <w:ind w:left="320" w:right="180" w:hanging="317"/>
        <w:spacing w:after="0" w:line="271" w:lineRule="auto"/>
        <w:tabs>
          <w:tab w:leader="none" w:pos="31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average compensation amounts reported in the Summary Compensation Table for our non-CEO NEOs for the respective years shown. The following non-CEO NEOs are included in the average figures shown:</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2025: David T. Doherty, Jennifer B. Baldock, Marissa A. Brittenham, W. Trent Webb, Harrison R. Bane</w:t>
      </w: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41"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2024: David T. Doherty, Jennifer B. Baldock, Harrison R. Bane, Marissa A. Brittenham, Bradley R. Owens, Anthony W. Taparo</w:t>
      </w:r>
    </w:p>
    <w:p>
      <w:pPr>
        <w:spacing w:after="0" w:line="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2023: David T. Doherty, Jennifer B. Baldock, Marissa A. Brittenham, Bradley R. Owens</w:t>
      </w:r>
    </w:p>
    <w:p>
      <w:pPr>
        <w:spacing w:after="0" w:line="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2022: David T. Doherty, Thomas F. Cowhey, Jennifer B. Baldock, Harrison R. Bane, Bradley R. Owens</w:t>
      </w:r>
    </w:p>
    <w:p>
      <w:pPr>
        <w:spacing w:after="0" w:line="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2021: Thomas F. Cowhey, Jennifer B. Baldock, Anthony W. Taparo, Bradley R. Owens</w:t>
      </w:r>
    </w:p>
    <w:p>
      <w:pPr>
        <w:spacing w:after="0" w:line="62" w:lineRule="exact"/>
        <w:rPr>
          <w:sz w:val="20"/>
          <w:szCs w:val="20"/>
          <w:color w:val="auto"/>
        </w:rPr>
      </w:pPr>
    </w:p>
    <w:p>
      <w:pPr>
        <w:ind w:left="320" w:right="1040" w:hanging="317"/>
        <w:spacing w:after="0" w:line="271" w:lineRule="auto"/>
        <w:tabs>
          <w:tab w:leader="none" w:pos="31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Compensation Actually Paid to non-CEO NEOs” in each of 2025, 2024, 2023, 2022 and 2021 reflects the respective average Summary Compensation Table total adjusted as set forth in the table below, as determined in accordance with SEC rules.</w:t>
      </w:r>
    </w:p>
    <w:p>
      <w:pPr>
        <w:spacing w:after="0" w:line="92" w:lineRule="exact"/>
        <w:rPr>
          <w:sz w:val="20"/>
          <w:szCs w:val="20"/>
          <w:color w:val="auto"/>
        </w:rPr>
      </w:pPr>
    </w:p>
    <w:tbl>
      <w:tblPr>
        <w:tblLayout w:type="fixed"/>
        <w:tblInd w:w="620" w:type="dxa"/>
        <w:tblCellMar>
          <w:top w:w="0" w:type="dxa"/>
          <w:left w:w="0" w:type="dxa"/>
          <w:bottom w:w="0" w:type="dxa"/>
          <w:right w:w="0" w:type="dxa"/>
        </w:tblCellMar>
      </w:tblPr>
      <w:tr>
        <w:trPr>
          <w:trHeight w:val="208"/>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90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
        </w:trPr>
        <w:tc>
          <w:tcPr>
            <w:tcW w:w="5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5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$1,541,025</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$1,670,372</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$2,473,172</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$2,309,915</w:t>
            </w:r>
          </w:p>
        </w:tc>
        <w:tc>
          <w:tcPr>
            <w:tcW w:w="900" w:type="dxa"/>
            <w:vAlign w:val="bottom"/>
            <w:tcBorders>
              <w:bottom w:val="single" w:sz="8" w:color="CCEEFF"/>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8"/>
              </w:rPr>
              <w:t>$1,750,822</w:t>
            </w:r>
          </w:p>
        </w:tc>
        <w:tc>
          <w:tcPr>
            <w:tcW w:w="0" w:type="dxa"/>
            <w:vAlign w:val="bottom"/>
          </w:tcPr>
          <w:p>
            <w:pPr>
              <w:spacing w:after="0"/>
              <w:rPr>
                <w:sz w:val="1"/>
                <w:szCs w:val="1"/>
                <w:color w:val="auto"/>
              </w:rPr>
            </w:pPr>
          </w:p>
        </w:tc>
      </w:tr>
      <w:tr>
        <w:trPr>
          <w:trHeight w:val="186"/>
        </w:trPr>
        <w:tc>
          <w:tcPr>
            <w:tcW w:w="5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Less: Equity Award Amounts Reported in Summary Compensation Table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(661,875)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(1,020,000)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(1,537,500)</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(1,275,000)</w:t>
            </w:r>
          </w:p>
        </w:tc>
        <w:tc>
          <w:tcPr>
            <w:tcW w:w="90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7"/>
              </w:rPr>
              <w:t>(1,175,000)</w:t>
            </w:r>
          </w:p>
        </w:tc>
        <w:tc>
          <w:tcPr>
            <w:tcW w:w="0" w:type="dxa"/>
            <w:vAlign w:val="bottom"/>
          </w:tcPr>
          <w:p>
            <w:pPr>
              <w:spacing w:after="0"/>
              <w:rPr>
                <w:sz w:val="1"/>
                <w:szCs w:val="1"/>
                <w:color w:val="auto"/>
              </w:rPr>
            </w:pPr>
          </w:p>
        </w:tc>
      </w:tr>
      <w:tr>
        <w:trPr>
          <w:trHeight w:val="201"/>
        </w:trPr>
        <w:tc>
          <w:tcPr>
            <w:tcW w:w="5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Add: Fair Value of Current Year Equity Awards Outstanding/Unvested at Year End</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840,847</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768,546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1,496,764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644,330</w:t>
            </w:r>
          </w:p>
        </w:tc>
        <w:tc>
          <w:tcPr>
            <w:tcW w:w="9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6"/>
              </w:rPr>
              <w:t>629,680</w:t>
            </w:r>
          </w:p>
        </w:tc>
        <w:tc>
          <w:tcPr>
            <w:tcW w:w="0" w:type="dxa"/>
            <w:vAlign w:val="bottom"/>
          </w:tcPr>
          <w:p>
            <w:pPr>
              <w:spacing w:after="0"/>
              <w:rPr>
                <w:sz w:val="1"/>
                <w:szCs w:val="1"/>
                <w:color w:val="auto"/>
              </w:rPr>
            </w:pPr>
          </w:p>
        </w:tc>
      </w:tr>
      <w:tr>
        <w:trPr>
          <w:trHeight w:val="186"/>
        </w:trPr>
        <w:tc>
          <w:tcPr>
            <w:tcW w:w="5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Add: Fair Value of Current Year Equity Awards That Vested in the Year</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54,645</w:t>
            </w:r>
          </w:p>
        </w:tc>
        <w:tc>
          <w:tcPr>
            <w:tcW w:w="90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6"/>
        </w:trPr>
        <w:tc>
          <w:tcPr>
            <w:tcW w:w="5640" w:type="dxa"/>
            <w:vAlign w:val="bottom"/>
            <w:shd w:val="clear" w:color="auto" w:fill="CCEEFF"/>
          </w:tcPr>
          <w:p>
            <w:pPr>
              <w:ind w:left="60"/>
              <w:spacing w:after="0" w:line="137" w:lineRule="exact"/>
              <w:rPr>
                <w:sz w:val="20"/>
                <w:szCs w:val="20"/>
                <w:color w:val="auto"/>
              </w:rPr>
            </w:pPr>
            <w:r>
              <w:rPr>
                <w:rFonts w:ascii="Times New Roman" w:cs="Times New Roman" w:eastAsia="Times New Roman" w:hAnsi="Times New Roman"/>
                <w:sz w:val="14"/>
                <w:szCs w:val="14"/>
                <w:color w:val="auto"/>
              </w:rPr>
              <w:t>Add: Fair Value of Equity Awards to be Issued in Lieu of Cash Incentive Payments Earned in the</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166,667</w:t>
            </w:r>
          </w:p>
        </w:tc>
        <w:tc>
          <w:tcPr>
            <w:tcW w:w="900" w:type="dxa"/>
            <w:vAlign w:val="bottom"/>
            <w:vMerge w:val="restart"/>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6"/>
        </w:trPr>
        <w:tc>
          <w:tcPr>
            <w:tcW w:w="56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Current Year</w:t>
            </w:r>
          </w:p>
        </w:tc>
        <w:tc>
          <w:tcPr>
            <w:tcW w:w="102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640" w:type="dxa"/>
            <w:vAlign w:val="bottom"/>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5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Change in Value of Prior Years’ Awards Outstanding/Unvested at Year End</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3,008,559</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(502,425)</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81,948</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(521,304)</w:t>
            </w:r>
          </w:p>
        </w:tc>
        <w:tc>
          <w:tcPr>
            <w:tcW w:w="90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8"/>
              </w:rPr>
              <w:t>(362,582)</w:t>
            </w:r>
          </w:p>
        </w:tc>
        <w:tc>
          <w:tcPr>
            <w:tcW w:w="0" w:type="dxa"/>
            <w:vAlign w:val="bottom"/>
          </w:tcPr>
          <w:p>
            <w:pPr>
              <w:spacing w:after="0"/>
              <w:rPr>
                <w:sz w:val="1"/>
                <w:szCs w:val="1"/>
                <w:color w:val="auto"/>
              </w:rPr>
            </w:pPr>
          </w:p>
        </w:tc>
      </w:tr>
      <w:tr>
        <w:trPr>
          <w:trHeight w:val="201"/>
        </w:trPr>
        <w:tc>
          <w:tcPr>
            <w:tcW w:w="5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Change in Value of Prior Years’ Awards That Vested in the Year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1,714,650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(401,924)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132,567</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(10,257)</w:t>
            </w:r>
          </w:p>
        </w:tc>
        <w:tc>
          <w:tcPr>
            <w:tcW w:w="9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6"/>
              </w:rPr>
              <w:t>219,367</w:t>
            </w:r>
          </w:p>
        </w:tc>
        <w:tc>
          <w:tcPr>
            <w:tcW w:w="0" w:type="dxa"/>
            <w:vAlign w:val="bottom"/>
          </w:tcPr>
          <w:p>
            <w:pPr>
              <w:spacing w:after="0"/>
              <w:rPr>
                <w:sz w:val="1"/>
                <w:szCs w:val="1"/>
                <w:color w:val="auto"/>
              </w:rPr>
            </w:pPr>
          </w:p>
        </w:tc>
      </w:tr>
      <w:tr>
        <w:trPr>
          <w:trHeight w:val="186"/>
        </w:trPr>
        <w:tc>
          <w:tcPr>
            <w:tcW w:w="5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Less: Fair Value of Prior Years' Awards Forfeited in the Year</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(1,706,708)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(42,419)</w:t>
            </w:r>
          </w:p>
        </w:tc>
        <w:tc>
          <w:tcPr>
            <w:tcW w:w="90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8"/>
              </w:rPr>
              <w:t>(203,894)</w:t>
            </w:r>
          </w:p>
        </w:tc>
        <w:tc>
          <w:tcPr>
            <w:tcW w:w="0" w:type="dxa"/>
            <w:vAlign w:val="bottom"/>
          </w:tcPr>
          <w:p>
            <w:pPr>
              <w:spacing w:after="0"/>
              <w:rPr>
                <w:sz w:val="1"/>
                <w:szCs w:val="1"/>
                <w:color w:val="auto"/>
              </w:rPr>
            </w:pPr>
          </w:p>
        </w:tc>
      </w:tr>
      <w:tr>
        <w:trPr>
          <w:trHeight w:val="201"/>
        </w:trPr>
        <w:tc>
          <w:tcPr>
            <w:tcW w:w="5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Less: Fair Value of Prior Years' Awards Failing to Meet Vesting Conditions</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(382,427)</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auto"/>
            </w:tcBorders>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8"/>
              </w:rPr>
              <w:t>(398,239)</w:t>
            </w:r>
          </w:p>
        </w:tc>
        <w:tc>
          <w:tcPr>
            <w:tcW w:w="0" w:type="dxa"/>
            <w:vAlign w:val="bottom"/>
          </w:tcPr>
          <w:p>
            <w:pPr>
              <w:spacing w:after="0"/>
              <w:rPr>
                <w:sz w:val="1"/>
                <w:szCs w:val="1"/>
                <w:color w:val="auto"/>
              </w:rPr>
            </w:pPr>
          </w:p>
        </w:tc>
      </w:tr>
      <w:tr>
        <w:trPr>
          <w:trHeight w:val="179"/>
        </w:trPr>
        <w:tc>
          <w:tcPr>
            <w:tcW w:w="5640" w:type="dxa"/>
            <w:vAlign w:val="bottom"/>
          </w:tcPr>
          <w:p>
            <w:pPr>
              <w:ind w:left="60"/>
              <w:spacing w:after="0" w:line="159" w:lineRule="exact"/>
              <w:rPr>
                <w:sz w:val="20"/>
                <w:szCs w:val="20"/>
                <w:color w:val="auto"/>
              </w:rPr>
            </w:pPr>
            <w:r>
              <w:rPr>
                <w:rFonts w:ascii="Times New Roman" w:cs="Times New Roman" w:eastAsia="Times New Roman" w:hAnsi="Times New Roman"/>
                <w:sz w:val="14"/>
                <w:szCs w:val="14"/>
                <w:color w:val="auto"/>
              </w:rPr>
              <w:t>Compensation Actually Paid</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$6,060,779</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$(1,192,139)</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$2,646,951</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$1,326,577</w:t>
            </w:r>
          </w:p>
        </w:tc>
        <w:tc>
          <w:tcPr>
            <w:tcW w:w="90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4"/>
                <w:szCs w:val="14"/>
                <w:color w:val="auto"/>
                <w:w w:val="98"/>
              </w:rPr>
              <w:t>$460,154</w:t>
            </w: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20" w:right="540"/>
        <w:spacing w:after="0" w:line="254" w:lineRule="auto"/>
        <w:rPr>
          <w:sz w:val="20"/>
          <w:szCs w:val="20"/>
          <w:color w:val="auto"/>
        </w:rPr>
      </w:pPr>
      <w:r>
        <w:rPr>
          <w:rFonts w:ascii="Times New Roman" w:cs="Times New Roman" w:eastAsia="Times New Roman" w:hAnsi="Times New Roman"/>
          <w:sz w:val="17"/>
          <w:szCs w:val="17"/>
          <w:color w:val="auto"/>
        </w:rPr>
        <w:t>Fair value or change in fair value, as applicable, of equity awards was determined as follows: (1) for restricted stock awards and earned PSU awards, the closing price on applicable year-end date or, in the case of vesting, the closing price as of each vest date, (2) for unearned PSU awards, closing price on applicable year-end date multiplied by the probability of achievement as of each such date, and (3) for option awards, a Black-Scholes value as of the applicable year-end or vesting date(s), determined based on the same methodology as used to determine grant date fair value for the applicable grant.</w:t>
      </w:r>
    </w:p>
    <w:p>
      <w:pPr>
        <w:spacing w:after="0" w:line="75" w:lineRule="exact"/>
        <w:rPr>
          <w:sz w:val="20"/>
          <w:szCs w:val="20"/>
          <w:color w:val="auto"/>
        </w:rPr>
      </w:pPr>
    </w:p>
    <w:p>
      <w:pPr>
        <w:ind w:left="300" w:hanging="297"/>
        <w:spacing w:after="0"/>
        <w:tabs>
          <w:tab w:leader="none" w:pos="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cumulative total stockholder return for the Dow Jones U.S. Health Care Providers Index.</w:t>
      </w:r>
    </w:p>
    <w:p>
      <w:pPr>
        <w:spacing w:after="0" w:line="101" w:lineRule="exact"/>
        <w:rPr>
          <w:rFonts w:ascii="Times New Roman" w:cs="Times New Roman" w:eastAsia="Times New Roman" w:hAnsi="Times New Roman"/>
          <w:sz w:val="17"/>
          <w:szCs w:val="17"/>
          <w:color w:val="auto"/>
        </w:rPr>
      </w:pPr>
    </w:p>
    <w:p>
      <w:pPr>
        <w:ind w:left="320" w:right="140" w:hanging="317"/>
        <w:spacing w:after="0" w:line="248" w:lineRule="auto"/>
        <w:tabs>
          <w:tab w:leader="none" w:pos="31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compensation purposes, "Adjusted EBITDA" is calculated as income before income taxes, adjusted for net income attributable to noncontrolling interests; depreciation and amortization; interest expense, net; equity-based compensation expense; transaction, integration and acquisition costs; net loss (gain) on disposals, consolidations and deconsolidations; litigation settlements and other litigation costs and other adjustments that are not related to the assessment of normal operating performance. We use Adjusted EBITDA as a measure of financial performance. Adjusted EBITDA is a key measure used by our management to assess operating performance, make business decisions and allocate resources. Adjusted EBITDA is the core long-term metric we use for purposes of evaluating performance for our compensation program, as further described in the section above entitled "Compensation Discussion and Analysis - Elements of Named Executive Officer Compensation."</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Relationship between Pay and Performance</w:t>
      </w:r>
    </w:p>
    <w:p>
      <w:pPr>
        <w:spacing w:after="0" w:line="247" w:lineRule="exact"/>
        <w:rPr>
          <w:sz w:val="20"/>
          <w:szCs w:val="20"/>
          <w:color w:val="auto"/>
        </w:rPr>
      </w:pPr>
    </w:p>
    <w:p>
      <w:pPr>
        <w:ind w:right="180" w:firstLine="309"/>
        <w:spacing w:after="0" w:line="246" w:lineRule="auto"/>
        <w:rPr>
          <w:sz w:val="20"/>
          <w:szCs w:val="20"/>
          <w:color w:val="auto"/>
        </w:rPr>
      </w:pPr>
      <w:r>
        <w:rPr>
          <w:rFonts w:ascii="Times New Roman" w:cs="Times New Roman" w:eastAsia="Times New Roman" w:hAnsi="Times New Roman"/>
          <w:sz w:val="17"/>
          <w:szCs w:val="17"/>
          <w:color w:val="auto"/>
        </w:rPr>
        <w:t>As described in more detail in the sections entitled "Compensation Discussion and Analysis" and "Executive Compensation," the Company’s executive compensation program reflects a variable pay-for-performance philosophy, with a significant emphasis on long-term performance and stockholder value creation. While the Company utilizes several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Actually Paid" for a particular year. We believe the "Compensation Actually Paid" in each of the years reported above and over the three-year cumulative period are reflective of the Compensation Committee’s emphasis on "pay-for-performance" as the "Compensation Actually Paid" fluctuated year-over-year, primarily due to the result of our stock performance and our varying levels of achievement against pre-established 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41"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1417955</wp:posOffset>
            </wp:positionH>
            <wp:positionV relativeFrom="paragraph">
              <wp:posOffset>289560</wp:posOffset>
            </wp:positionV>
            <wp:extent cx="4502785" cy="54603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02785" cy="546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Performance Measures</w:t>
      </w:r>
    </w:p>
    <w:p>
      <w:pPr>
        <w:spacing w:after="0" w:line="234" w:lineRule="exact"/>
        <w:rPr>
          <w:sz w:val="20"/>
          <w:szCs w:val="20"/>
          <w:color w:val="auto"/>
        </w:rPr>
      </w:pPr>
    </w:p>
    <w:p>
      <w:pPr>
        <w:ind w:firstLine="309"/>
        <w:spacing w:after="0" w:line="271" w:lineRule="auto"/>
        <w:rPr>
          <w:sz w:val="20"/>
          <w:szCs w:val="20"/>
          <w:color w:val="auto"/>
        </w:rPr>
      </w:pPr>
      <w:r>
        <w:rPr>
          <w:rFonts w:ascii="Times New Roman" w:cs="Times New Roman" w:eastAsia="Times New Roman" w:hAnsi="Times New Roman"/>
          <w:sz w:val="17"/>
          <w:szCs w:val="17"/>
          <w:color w:val="auto"/>
        </w:rPr>
        <w:t>The following financial performance measures reflect the Company's most important performance measures for the most recently completed fiscal year used by the Company to link compensation actually paid to our NEOs, to the Company’s performance:</w:t>
      </w:r>
    </w:p>
    <w:p>
      <w:pPr>
        <w:spacing w:after="0" w:line="177" w:lineRule="exact"/>
        <w:rPr>
          <w:sz w:val="20"/>
          <w:szCs w:val="20"/>
          <w:color w:val="auto"/>
        </w:rPr>
      </w:pPr>
    </w:p>
    <w:p>
      <w:pPr>
        <w:ind w:left="1240" w:hanging="618"/>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w:t>
      </w:r>
    </w:p>
    <w:p>
      <w:pPr>
        <w:spacing w:after="0" w:line="27"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Revenue</w:t>
      </w:r>
    </w:p>
    <w:p>
      <w:pPr>
        <w:ind w:left="1240" w:hanging="618"/>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Flow</w:t>
      </w:r>
    </w:p>
    <w:p>
      <w:pPr>
        <w:spacing w:after="0" w:line="3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41"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information concerning the compensation earned by our directors for the year ended December 31,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3780" w:type="dxa"/>
            <w:vAlign w:val="bottom"/>
          </w:tcPr>
          <w:p>
            <w:pPr>
              <w:jc w:val="center"/>
              <w:ind w:left="1534"/>
              <w:spacing w:after="0"/>
              <w:rPr>
                <w:sz w:val="20"/>
                <w:szCs w:val="20"/>
                <w:color w:val="auto"/>
              </w:rPr>
            </w:pPr>
            <w:r>
              <w:rPr>
                <w:rFonts w:ascii="Times New Roman" w:cs="Times New Roman" w:eastAsia="Times New Roman" w:hAnsi="Times New Roman"/>
                <w:sz w:val="17"/>
                <w:szCs w:val="17"/>
                <w:b w:val="1"/>
                <w:bCs w:val="1"/>
                <w:color w:val="auto"/>
              </w:rPr>
              <w:t>Fees Earned or Paid in</w:t>
            </w:r>
          </w:p>
        </w:tc>
        <w:tc>
          <w:tcPr>
            <w:tcW w:w="18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Stock Awards</w:t>
            </w:r>
            <w:r>
              <w:rPr>
                <w:rFonts w:ascii="Times New Roman" w:cs="Times New Roman" w:eastAsia="Times New Roman" w:hAnsi="Times New Roman"/>
                <w:sz w:val="22"/>
                <w:szCs w:val="22"/>
                <w:b w:val="1"/>
                <w:bCs w:val="1"/>
                <w:color w:val="auto"/>
                <w:vertAlign w:val="superscript"/>
              </w:rPr>
              <w:t>(5)</w:t>
            </w:r>
          </w:p>
        </w:tc>
        <w:tc>
          <w:tcPr>
            <w:tcW w:w="1580" w:type="dxa"/>
            <w:vAlign w:val="bottom"/>
            <w:vMerge w:val="restart"/>
          </w:tcPr>
          <w:p>
            <w:pPr>
              <w:ind w:left="5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58"/>
        </w:trPr>
        <w:tc>
          <w:tcPr>
            <w:tcW w:w="4040" w:type="dxa"/>
            <w:vAlign w:val="bottom"/>
            <w:tcBorders>
              <w:bottom w:val="single" w:sz="8" w:color="auto"/>
            </w:tcBorders>
            <w:vMerge w:val="continue"/>
          </w:tcPr>
          <w:p>
            <w:pPr>
              <w:spacing w:after="0"/>
              <w:rPr>
                <w:sz w:val="22"/>
                <w:szCs w:val="22"/>
                <w:color w:val="auto"/>
              </w:rPr>
            </w:pPr>
          </w:p>
        </w:tc>
        <w:tc>
          <w:tcPr>
            <w:tcW w:w="3780" w:type="dxa"/>
            <w:vAlign w:val="bottom"/>
            <w:tcBorders>
              <w:bottom w:val="single" w:sz="8" w:color="auto"/>
            </w:tcBorders>
          </w:tcPr>
          <w:p>
            <w:pPr>
              <w:jc w:val="center"/>
              <w:ind w:left="1534"/>
              <w:spacing w:after="0"/>
              <w:rPr>
                <w:sz w:val="20"/>
                <w:szCs w:val="20"/>
                <w:color w:val="auto"/>
              </w:rPr>
            </w:pPr>
            <w:r>
              <w:rPr>
                <w:rFonts w:ascii="Times New Roman" w:cs="Times New Roman" w:eastAsia="Times New Roman" w:hAnsi="Times New Roman"/>
                <w:sz w:val="17"/>
                <w:szCs w:val="17"/>
                <w:b w:val="1"/>
                <w:bCs w:val="1"/>
                <w:color w:val="auto"/>
                <w:w w:val="96"/>
              </w:rPr>
              <w:t>Cash</w:t>
            </w:r>
            <w:r>
              <w:rPr>
                <w:rFonts w:ascii="Times New Roman" w:cs="Times New Roman" w:eastAsia="Times New Roman" w:hAnsi="Times New Roman"/>
                <w:sz w:val="22"/>
                <w:szCs w:val="22"/>
                <w:b w:val="1"/>
                <w:bCs w:val="1"/>
                <w:color w:val="auto"/>
                <w:w w:val="96"/>
                <w:vertAlign w:val="superscript"/>
              </w:rPr>
              <w:t>(4)</w:t>
            </w:r>
          </w:p>
        </w:tc>
        <w:tc>
          <w:tcPr>
            <w:tcW w:w="1840" w:type="dxa"/>
            <w:vAlign w:val="bottom"/>
            <w:tcBorders>
              <w:bottom w:val="single" w:sz="8" w:color="auto"/>
            </w:tcBorders>
            <w:vMerge w:val="continue"/>
          </w:tcPr>
          <w:p>
            <w:pPr>
              <w:spacing w:after="0"/>
              <w:rPr>
                <w:sz w:val="22"/>
                <w:szCs w:val="22"/>
                <w:color w:val="auto"/>
              </w:rPr>
            </w:pPr>
          </w:p>
        </w:tc>
        <w:tc>
          <w:tcPr>
            <w:tcW w:w="15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60"/>
              <w:spacing w:after="0" w:line="212" w:lineRule="exact"/>
              <w:rPr>
                <w:sz w:val="20"/>
                <w:szCs w:val="20"/>
                <w:color w:val="auto"/>
              </w:rPr>
            </w:pPr>
            <w:r>
              <w:rPr>
                <w:rFonts w:ascii="Times New Roman" w:cs="Times New Roman" w:eastAsia="Times New Roman" w:hAnsi="Times New Roman"/>
                <w:sz w:val="17"/>
                <w:szCs w:val="17"/>
                <w:color w:val="auto"/>
              </w:rPr>
              <w:t xml:space="preserve">Wayne S. DeVeydt </w:t>
            </w:r>
            <w:r>
              <w:rPr>
                <w:rFonts w:ascii="Times New Roman" w:cs="Times New Roman" w:eastAsia="Times New Roman" w:hAnsi="Times New Roman"/>
                <w:sz w:val="22"/>
                <w:szCs w:val="22"/>
                <w:color w:val="auto"/>
                <w:vertAlign w:val="superscript"/>
              </w:rPr>
              <w:t>(1)</w:t>
            </w:r>
          </w:p>
        </w:tc>
        <w:tc>
          <w:tcPr>
            <w:tcW w:w="3780" w:type="dxa"/>
            <w:vAlign w:val="bottom"/>
            <w:shd w:val="clear" w:color="auto" w:fill="CCEEFF"/>
          </w:tcPr>
          <w:p>
            <w:pPr>
              <w:jc w:val="center"/>
              <w:ind w:left="1534"/>
              <w:spacing w:after="0"/>
              <w:rPr>
                <w:sz w:val="20"/>
                <w:szCs w:val="20"/>
                <w:color w:val="auto"/>
              </w:rPr>
            </w:pPr>
            <w:r>
              <w:rPr>
                <w:rFonts w:ascii="Times New Roman" w:cs="Times New Roman" w:eastAsia="Times New Roman" w:hAnsi="Times New Roman"/>
                <w:sz w:val="17"/>
                <w:szCs w:val="17"/>
                <w:color w:val="auto"/>
              </w:rPr>
              <w:t>$125,000</w:t>
            </w:r>
          </w:p>
        </w:tc>
        <w:tc>
          <w:tcPr>
            <w:tcW w:w="184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$125,000</w:t>
            </w:r>
          </w:p>
        </w:tc>
        <w:tc>
          <w:tcPr>
            <w:tcW w:w="0" w:type="dxa"/>
            <w:vAlign w:val="bottom"/>
          </w:tcPr>
          <w:p>
            <w:pPr>
              <w:spacing w:after="0"/>
              <w:rPr>
                <w:sz w:val="1"/>
                <w:szCs w:val="1"/>
                <w:color w:val="auto"/>
              </w:rPr>
            </w:pPr>
          </w:p>
        </w:tc>
      </w:tr>
      <w:tr>
        <w:trPr>
          <w:trHeight w:val="232"/>
        </w:trPr>
        <w:tc>
          <w:tcPr>
            <w:tcW w:w="4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Brent Turner</w:t>
            </w:r>
          </w:p>
        </w:tc>
        <w:tc>
          <w:tcPr>
            <w:tcW w:w="3780" w:type="dxa"/>
            <w:vAlign w:val="bottom"/>
          </w:tcPr>
          <w:p>
            <w:pPr>
              <w:jc w:val="center"/>
              <w:ind w:left="1534"/>
              <w:spacing w:after="0"/>
              <w:rPr>
                <w:sz w:val="20"/>
                <w:szCs w:val="20"/>
                <w:color w:val="auto"/>
              </w:rPr>
            </w:pPr>
            <w:r>
              <w:rPr>
                <w:rFonts w:ascii="Times New Roman" w:cs="Times New Roman" w:eastAsia="Times New Roman" w:hAnsi="Times New Roman"/>
                <w:sz w:val="17"/>
                <w:szCs w:val="17"/>
                <w:color w:val="auto"/>
              </w:rPr>
              <w:t>305,000</w:t>
            </w:r>
          </w:p>
        </w:tc>
        <w:tc>
          <w:tcPr>
            <w:tcW w:w="18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160,000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465,000</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Teresa DeLuca, M.D.</w:t>
            </w:r>
          </w:p>
        </w:tc>
        <w:tc>
          <w:tcPr>
            <w:tcW w:w="3780" w:type="dxa"/>
            <w:vAlign w:val="bottom"/>
            <w:tcBorders>
              <w:bottom w:val="single" w:sz="8" w:color="CCEEFF"/>
            </w:tcBorders>
            <w:shd w:val="clear" w:color="auto" w:fill="CCEEFF"/>
          </w:tcPr>
          <w:p>
            <w:pPr>
              <w:jc w:val="center"/>
              <w:ind w:left="1534"/>
              <w:spacing w:after="0"/>
              <w:rPr>
                <w:sz w:val="20"/>
                <w:szCs w:val="20"/>
                <w:color w:val="auto"/>
              </w:rPr>
            </w:pPr>
            <w:r>
              <w:rPr>
                <w:rFonts w:ascii="Times New Roman" w:cs="Times New Roman" w:eastAsia="Times New Roman" w:hAnsi="Times New Roman"/>
                <w:sz w:val="17"/>
                <w:szCs w:val="17"/>
                <w:color w:val="auto"/>
              </w:rPr>
              <w:t>270,000</w:t>
            </w:r>
          </w:p>
        </w:tc>
        <w:tc>
          <w:tcPr>
            <w:tcW w:w="1840" w:type="dxa"/>
            <w:vAlign w:val="bottom"/>
            <w:tcBorders>
              <w:bottom w:val="single" w:sz="8" w:color="CCEEFF"/>
            </w:tcBorders>
            <w:shd w:val="clear" w:color="auto" w:fill="CCEEFF"/>
          </w:tcPr>
          <w:p>
            <w:pPr>
              <w:jc w:val="center"/>
              <w:ind w:right="154"/>
              <w:spacing w:after="0"/>
              <w:rPr>
                <w:sz w:val="20"/>
                <w:szCs w:val="20"/>
                <w:color w:val="auto"/>
              </w:rPr>
            </w:pPr>
            <w:r>
              <w:rPr>
                <w:rFonts w:ascii="Times New Roman" w:cs="Times New Roman" w:eastAsia="Times New Roman" w:hAnsi="Times New Roman"/>
                <w:sz w:val="17"/>
                <w:szCs w:val="17"/>
                <w:color w:val="auto"/>
              </w:rPr>
              <w:t>160,000</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430,000</w:t>
            </w:r>
          </w:p>
        </w:tc>
        <w:tc>
          <w:tcPr>
            <w:tcW w:w="0" w:type="dxa"/>
            <w:vAlign w:val="bottom"/>
          </w:tcPr>
          <w:p>
            <w:pPr>
              <w:spacing w:after="0"/>
              <w:rPr>
                <w:sz w:val="1"/>
                <w:szCs w:val="1"/>
                <w:color w:val="auto"/>
              </w:rPr>
            </w:pPr>
          </w:p>
        </w:tc>
      </w:tr>
      <w:tr>
        <w:trPr>
          <w:trHeight w:val="232"/>
        </w:trPr>
        <w:tc>
          <w:tcPr>
            <w:tcW w:w="4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John A. Deane</w:t>
            </w:r>
          </w:p>
        </w:tc>
        <w:tc>
          <w:tcPr>
            <w:tcW w:w="3780" w:type="dxa"/>
            <w:vAlign w:val="bottom"/>
          </w:tcPr>
          <w:p>
            <w:pPr>
              <w:jc w:val="center"/>
              <w:ind w:left="1534"/>
              <w:spacing w:after="0"/>
              <w:rPr>
                <w:sz w:val="20"/>
                <w:szCs w:val="20"/>
                <w:color w:val="auto"/>
              </w:rPr>
            </w:pPr>
            <w:r>
              <w:rPr>
                <w:rFonts w:ascii="Times New Roman" w:cs="Times New Roman" w:eastAsia="Times New Roman" w:hAnsi="Times New Roman"/>
                <w:sz w:val="17"/>
                <w:szCs w:val="17"/>
                <w:color w:val="auto"/>
              </w:rPr>
              <w:t>250,000</w:t>
            </w:r>
          </w:p>
        </w:tc>
        <w:tc>
          <w:tcPr>
            <w:tcW w:w="18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160,000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410,000</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Clifford G. Adlerz</w:t>
            </w:r>
          </w:p>
        </w:tc>
        <w:tc>
          <w:tcPr>
            <w:tcW w:w="3780" w:type="dxa"/>
            <w:vAlign w:val="bottom"/>
            <w:tcBorders>
              <w:bottom w:val="single" w:sz="8" w:color="CCEEFF"/>
            </w:tcBorders>
            <w:shd w:val="clear" w:color="auto" w:fill="CCEEFF"/>
          </w:tcPr>
          <w:p>
            <w:pPr>
              <w:jc w:val="center"/>
              <w:ind w:left="1534"/>
              <w:spacing w:after="0"/>
              <w:rPr>
                <w:sz w:val="20"/>
                <w:szCs w:val="20"/>
                <w:color w:val="auto"/>
              </w:rPr>
            </w:pPr>
            <w:r>
              <w:rPr>
                <w:rFonts w:ascii="Times New Roman" w:cs="Times New Roman" w:eastAsia="Times New Roman" w:hAnsi="Times New Roman"/>
                <w:sz w:val="17"/>
                <w:szCs w:val="17"/>
                <w:color w:val="auto"/>
              </w:rPr>
              <w:t>100,000</w:t>
            </w:r>
          </w:p>
        </w:tc>
        <w:tc>
          <w:tcPr>
            <w:tcW w:w="1840" w:type="dxa"/>
            <w:vAlign w:val="bottom"/>
            <w:tcBorders>
              <w:bottom w:val="single" w:sz="8" w:color="CCEEFF"/>
            </w:tcBorders>
            <w:shd w:val="clear" w:color="auto" w:fill="CCEEFF"/>
          </w:tcPr>
          <w:p>
            <w:pPr>
              <w:jc w:val="center"/>
              <w:ind w:right="154"/>
              <w:spacing w:after="0"/>
              <w:rPr>
                <w:sz w:val="20"/>
                <w:szCs w:val="20"/>
                <w:color w:val="auto"/>
              </w:rPr>
            </w:pPr>
            <w:r>
              <w:rPr>
                <w:rFonts w:ascii="Times New Roman" w:cs="Times New Roman" w:eastAsia="Times New Roman" w:hAnsi="Times New Roman"/>
                <w:sz w:val="17"/>
                <w:szCs w:val="17"/>
                <w:color w:val="auto"/>
              </w:rPr>
              <w:t>160,000</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260,000</w:t>
            </w:r>
          </w:p>
        </w:tc>
        <w:tc>
          <w:tcPr>
            <w:tcW w:w="0" w:type="dxa"/>
            <w:vAlign w:val="bottom"/>
          </w:tcPr>
          <w:p>
            <w:pPr>
              <w:spacing w:after="0"/>
              <w:rPr>
                <w:sz w:val="1"/>
                <w:szCs w:val="1"/>
                <w:color w:val="auto"/>
              </w:rPr>
            </w:pPr>
          </w:p>
        </w:tc>
      </w:tr>
      <w:tr>
        <w:trPr>
          <w:trHeight w:val="297"/>
        </w:trPr>
        <w:tc>
          <w:tcPr>
            <w:tcW w:w="4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Devin O'Reilly </w:t>
            </w:r>
            <w:r>
              <w:rPr>
                <w:rFonts w:ascii="Times New Roman" w:cs="Times New Roman" w:eastAsia="Times New Roman" w:hAnsi="Times New Roman"/>
                <w:sz w:val="22"/>
                <w:szCs w:val="22"/>
                <w:color w:val="auto"/>
                <w:vertAlign w:val="superscript"/>
              </w:rPr>
              <w:t>(2)</w:t>
            </w:r>
          </w:p>
        </w:tc>
        <w:tc>
          <w:tcPr>
            <w:tcW w:w="3780" w:type="dxa"/>
            <w:vAlign w:val="bottom"/>
          </w:tcPr>
          <w:p>
            <w:pPr>
              <w:jc w:val="center"/>
              <w:ind w:left="15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7"/>
        </w:trPr>
        <w:tc>
          <w:tcPr>
            <w:tcW w:w="4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xml:space="preserve">Andrew T. Kaplan </w:t>
            </w:r>
            <w:r>
              <w:rPr>
                <w:rFonts w:ascii="Times New Roman" w:cs="Times New Roman" w:eastAsia="Times New Roman" w:hAnsi="Times New Roman"/>
                <w:sz w:val="22"/>
                <w:szCs w:val="22"/>
                <w:color w:val="auto"/>
                <w:vertAlign w:val="superscript"/>
              </w:rPr>
              <w:t>(2)</w:t>
            </w:r>
          </w:p>
        </w:tc>
        <w:tc>
          <w:tcPr>
            <w:tcW w:w="3780" w:type="dxa"/>
            <w:vAlign w:val="bottom"/>
            <w:shd w:val="clear" w:color="auto" w:fill="CCEEFF"/>
          </w:tcPr>
          <w:p>
            <w:pPr>
              <w:jc w:val="center"/>
              <w:ind w:left="15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Laura Forese</w:t>
            </w:r>
          </w:p>
        </w:tc>
        <w:tc>
          <w:tcPr>
            <w:tcW w:w="3780" w:type="dxa"/>
            <w:vAlign w:val="bottom"/>
          </w:tcPr>
          <w:p>
            <w:pPr>
              <w:jc w:val="center"/>
              <w:ind w:left="1534"/>
              <w:spacing w:after="0"/>
              <w:rPr>
                <w:sz w:val="20"/>
                <w:szCs w:val="20"/>
                <w:color w:val="auto"/>
              </w:rPr>
            </w:pPr>
            <w:r>
              <w:rPr>
                <w:rFonts w:ascii="Times New Roman" w:cs="Times New Roman" w:eastAsia="Times New Roman" w:hAnsi="Times New Roman"/>
                <w:sz w:val="17"/>
                <w:szCs w:val="17"/>
                <w:color w:val="auto"/>
              </w:rPr>
              <w:t>250,000</w:t>
            </w:r>
          </w:p>
        </w:tc>
        <w:tc>
          <w:tcPr>
            <w:tcW w:w="18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160,000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410,000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60"/>
              <w:spacing w:after="0" w:line="219" w:lineRule="exact"/>
              <w:rPr>
                <w:sz w:val="20"/>
                <w:szCs w:val="20"/>
                <w:color w:val="auto"/>
              </w:rPr>
            </w:pPr>
            <w:r>
              <w:rPr>
                <w:rFonts w:ascii="Times New Roman" w:cs="Times New Roman" w:eastAsia="Times New Roman" w:hAnsi="Times New Roman"/>
                <w:sz w:val="17"/>
                <w:szCs w:val="17"/>
                <w:color w:val="auto"/>
              </w:rPr>
              <w:t xml:space="preserve">Patricia A. Maryland, Dr.PH </w:t>
            </w:r>
            <w:r>
              <w:rPr>
                <w:rFonts w:ascii="Times New Roman" w:cs="Times New Roman" w:eastAsia="Times New Roman" w:hAnsi="Times New Roman"/>
                <w:sz w:val="22"/>
                <w:szCs w:val="22"/>
                <w:color w:val="auto"/>
                <w:vertAlign w:val="superscript"/>
              </w:rPr>
              <w:t>(3)</w:t>
            </w:r>
          </w:p>
        </w:tc>
        <w:tc>
          <w:tcPr>
            <w:tcW w:w="3780" w:type="dxa"/>
            <w:vAlign w:val="bottom"/>
            <w:shd w:val="clear" w:color="auto" w:fill="CCEEFF"/>
          </w:tcPr>
          <w:p>
            <w:pPr>
              <w:jc w:val="center"/>
              <w:ind w:left="1534"/>
              <w:spacing w:after="0"/>
              <w:rPr>
                <w:sz w:val="20"/>
                <w:szCs w:val="20"/>
                <w:color w:val="auto"/>
              </w:rPr>
            </w:pPr>
            <w:r>
              <w:rPr>
                <w:rFonts w:ascii="Times New Roman" w:cs="Times New Roman" w:eastAsia="Times New Roman" w:hAnsi="Times New Roman"/>
                <w:sz w:val="17"/>
                <w:szCs w:val="17"/>
                <w:color w:val="auto"/>
              </w:rPr>
              <w:t>225,000</w:t>
            </w:r>
          </w:p>
        </w:tc>
        <w:tc>
          <w:tcPr>
            <w:tcW w:w="184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7"/>
                <w:szCs w:val="17"/>
                <w:color w:val="auto"/>
              </w:rPr>
              <w:t>160,000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385,000</w:t>
            </w:r>
          </w:p>
        </w:tc>
        <w:tc>
          <w:tcPr>
            <w:tcW w:w="0" w:type="dxa"/>
            <w:vAlign w:val="bottom"/>
          </w:tcPr>
          <w:p>
            <w:pPr>
              <w:spacing w:after="0"/>
              <w:rPr>
                <w:sz w:val="1"/>
                <w:szCs w:val="1"/>
                <w:color w:val="auto"/>
              </w:rPr>
            </w:pPr>
          </w:p>
        </w:tc>
      </w:tr>
      <w:tr>
        <w:trPr>
          <w:trHeight w:val="223"/>
        </w:trPr>
        <w:tc>
          <w:tcPr>
            <w:tcW w:w="4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Blair E. Hendrix</w:t>
            </w:r>
          </w:p>
        </w:tc>
        <w:tc>
          <w:tcPr>
            <w:tcW w:w="3780" w:type="dxa"/>
            <w:vAlign w:val="bottom"/>
          </w:tcPr>
          <w:p>
            <w:pPr>
              <w:jc w:val="center"/>
              <w:ind w:left="1534"/>
              <w:spacing w:after="0"/>
              <w:rPr>
                <w:sz w:val="20"/>
                <w:szCs w:val="20"/>
                <w:color w:val="auto"/>
              </w:rPr>
            </w:pPr>
            <w:r>
              <w:rPr>
                <w:rFonts w:ascii="Times New Roman" w:cs="Times New Roman" w:eastAsia="Times New Roman" w:hAnsi="Times New Roman"/>
                <w:sz w:val="17"/>
                <w:szCs w:val="17"/>
                <w:color w:val="auto"/>
              </w:rPr>
              <w:t>185,000</w:t>
            </w:r>
          </w:p>
        </w:tc>
        <w:tc>
          <w:tcPr>
            <w:tcW w:w="18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160,000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345,000</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w:t>
      </w:r>
    </w:p>
    <w:p>
      <w:pPr>
        <w:spacing w:after="0" w:line="165" w:lineRule="exact"/>
        <w:rPr>
          <w:sz w:val="20"/>
          <w:szCs w:val="20"/>
          <w:color w:val="auto"/>
        </w:rPr>
      </w:pPr>
    </w:p>
    <w:p>
      <w:pPr>
        <w:ind w:left="300" w:hanging="297"/>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compensation earned by Mr. DeVeydt prior to his resignation from the Board effective August 4, 2025.</w:t>
      </w:r>
    </w:p>
    <w:p>
      <w:pPr>
        <w:spacing w:after="0" w:line="4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Messrs. O'Reilly and Kaplan did not receive compensation for their service on the Board because they are associated with Bain Capital.</w:t>
      </w:r>
    </w:p>
    <w:p>
      <w:pPr>
        <w:spacing w:after="0" w:line="4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compensation earned by Dr. Maryland prior to her death on October 24, 2025.</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include payments related to special committee meetings during the first half of 2025.</w:t>
      </w:r>
    </w:p>
    <w:p>
      <w:pPr>
        <w:spacing w:after="0" w:line="49" w:lineRule="exact"/>
        <w:rPr>
          <w:rFonts w:ascii="Times New Roman" w:cs="Times New Roman" w:eastAsia="Times New Roman" w:hAnsi="Times New Roman"/>
          <w:sz w:val="17"/>
          <w:szCs w:val="17"/>
          <w:color w:val="auto"/>
        </w:rPr>
      </w:pPr>
    </w:p>
    <w:p>
      <w:pPr>
        <w:ind w:left="320" w:right="60" w:hanging="317"/>
        <w:spacing w:after="0" w:line="254" w:lineRule="auto"/>
        <w:tabs>
          <w:tab w:leader="none" w:pos="31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aggregate grant date fair value of restricted stock awards granted on June 10, 2025, determined in accordance with FASB ASC Topic 718 (except for Mr. DeVeydt). The assumptions used in the valuation of share awards are set forth in Note 10 to our consolidated financial statements contained in our Annual Report on Form 10-K for the year ended December 31, 2025. As of December 31, 2025, each of Dr. DeLuca and Messrs. Adlerz, Deane, Forese, Hendrix and Turner held unvested restricted stock awards of 6,861 shares.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With respect to 2025, each member of our Board who was not an employee and who was not associated with Bain Capital (other than Mr. DeVeydt),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eligible to receive an annual cash retainer payment of $100,000 and an annual award of restricted stock having an aggregate grant date fair value equal to</w:t>
      </w:r>
    </w:p>
    <w:p>
      <w:pPr>
        <w:spacing w:after="0" w:line="237" w:lineRule="auto"/>
        <w:rPr>
          <w:sz w:val="20"/>
          <w:szCs w:val="20"/>
          <w:color w:val="auto"/>
        </w:rPr>
      </w:pPr>
      <w:r>
        <w:rPr>
          <w:rFonts w:ascii="Times New Roman" w:cs="Times New Roman" w:eastAsia="Times New Roman" w:hAnsi="Times New Roman"/>
          <w:sz w:val="17"/>
          <w:szCs w:val="17"/>
          <w:color w:val="auto"/>
        </w:rPr>
        <w:t>$160,000. The restricted stock awards vest in full on the first anniversary of the grant date. Prior to his resignation on August 4, 2025, Mr. DeVeydt was eligible to</w:t>
      </w:r>
    </w:p>
    <w:p>
      <w:pPr>
        <w:spacing w:after="0"/>
        <w:rPr>
          <w:sz w:val="20"/>
          <w:szCs w:val="20"/>
          <w:color w:val="auto"/>
        </w:rPr>
      </w:pPr>
      <w:r>
        <w:rPr>
          <w:rFonts w:ascii="Times New Roman" w:cs="Times New Roman" w:eastAsia="Times New Roman" w:hAnsi="Times New Roman"/>
          <w:sz w:val="17"/>
          <w:szCs w:val="17"/>
          <w:color w:val="auto"/>
        </w:rPr>
        <w:t>receive an annual cash retainer payment of $250,000 and a bonus of up to 100% of his cash retainer for serving as Executive Chairman. For 2025, Mr. DeVeydt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earned a portion of his cash retainer and did not receive a stock award. Mr. Hendrix was appointed as Chairman on August 4, 2025 and was eligible to receive an</w:t>
      </w:r>
    </w:p>
    <w:p>
      <w:pPr>
        <w:spacing w:after="0"/>
        <w:rPr>
          <w:sz w:val="20"/>
          <w:szCs w:val="20"/>
          <w:color w:val="auto"/>
        </w:rPr>
      </w:pPr>
      <w:r>
        <w:rPr>
          <w:rFonts w:ascii="Times New Roman" w:cs="Times New Roman" w:eastAsia="Times New Roman" w:hAnsi="Times New Roman"/>
          <w:sz w:val="17"/>
          <w:szCs w:val="17"/>
          <w:color w:val="auto"/>
        </w:rPr>
        <w:t>annual cash retainer payment of $130,000.</w:t>
      </w:r>
    </w:p>
    <w:p>
      <w:pPr>
        <w:spacing w:after="0" w:line="212" w:lineRule="exact"/>
        <w:rPr>
          <w:sz w:val="20"/>
          <w:szCs w:val="20"/>
          <w:color w:val="auto"/>
        </w:rPr>
      </w:pPr>
    </w:p>
    <w:p>
      <w:pPr>
        <w:ind w:right="140" w:firstLine="309"/>
        <w:spacing w:after="0" w:line="262" w:lineRule="auto"/>
        <w:rPr>
          <w:sz w:val="20"/>
          <w:szCs w:val="20"/>
          <w:color w:val="auto"/>
        </w:rPr>
      </w:pPr>
      <w:r>
        <w:rPr>
          <w:rFonts w:ascii="Times New Roman" w:cs="Times New Roman" w:eastAsia="Times New Roman" w:hAnsi="Times New Roman"/>
          <w:sz w:val="17"/>
          <w:szCs w:val="17"/>
          <w:color w:val="auto"/>
        </w:rPr>
        <w:t>In addition, the chair of the Audit Committee is entitled to an additional cash retainer payment of $25,000, the chair of the Compensation Committee is entitled to an additional cash retainer payment of $20,000, the chair of the Compliance and Ethics Committee is entitled to an additional cash retainer payment of $20,000 and the chair of the Governance Committee is entitled to an additional cash retainer payment of $20,000.</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PROPOSAL NO. 3: RATIFICATION OF THE AUDIT COMMITTEE’S APPOINTMENT OF THE</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w:t>
      </w:r>
    </w:p>
    <w:p>
      <w:pPr>
        <w:spacing w:after="0" w:line="200" w:lineRule="exact"/>
        <w:rPr>
          <w:sz w:val="20"/>
          <w:szCs w:val="20"/>
          <w:color w:val="auto"/>
        </w:rPr>
      </w:pPr>
    </w:p>
    <w:p>
      <w:pPr>
        <w:ind w:right="440" w:firstLine="309"/>
        <w:spacing w:after="0" w:line="271" w:lineRule="auto"/>
        <w:rPr>
          <w:sz w:val="20"/>
          <w:szCs w:val="20"/>
          <w:color w:val="auto"/>
        </w:rPr>
      </w:pPr>
      <w:r>
        <w:rPr>
          <w:rFonts w:ascii="Times New Roman" w:cs="Times New Roman" w:eastAsia="Times New Roman" w:hAnsi="Times New Roman"/>
          <w:sz w:val="17"/>
          <w:szCs w:val="17"/>
          <w:color w:val="auto"/>
        </w:rPr>
        <w:t>The Audit Committee has selected Ernst &amp; Young (“EY”) as the Company's principal independent registered public accounting firm for the year ending December 31, 2026. Such selection of EY was approved by the Board, and the Company seeks ratification of the appointment by the stockholders.</w:t>
      </w:r>
    </w:p>
    <w:p>
      <w:pPr>
        <w:spacing w:after="0" w:line="190" w:lineRule="exact"/>
        <w:rPr>
          <w:sz w:val="20"/>
          <w:szCs w:val="20"/>
          <w:color w:val="auto"/>
        </w:rPr>
      </w:pPr>
    </w:p>
    <w:p>
      <w:pPr>
        <w:ind w:right="140" w:firstLine="309"/>
        <w:spacing w:after="0" w:line="254" w:lineRule="auto"/>
        <w:rPr>
          <w:sz w:val="20"/>
          <w:szCs w:val="20"/>
          <w:color w:val="auto"/>
        </w:rPr>
      </w:pPr>
      <w:r>
        <w:rPr>
          <w:rFonts w:ascii="Times New Roman" w:cs="Times New Roman" w:eastAsia="Times New Roman" w:hAnsi="Times New Roman"/>
          <w:sz w:val="17"/>
          <w:szCs w:val="17"/>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w:t>
      </w:r>
    </w:p>
    <w:p>
      <w:pPr>
        <w:spacing w:after="0" w:line="204" w:lineRule="exact"/>
        <w:rPr>
          <w:sz w:val="20"/>
          <w:szCs w:val="20"/>
          <w:color w:val="auto"/>
        </w:rPr>
      </w:pPr>
    </w:p>
    <w:p>
      <w:pPr>
        <w:ind w:right="300" w:firstLine="309"/>
        <w:spacing w:after="0" w:line="254" w:lineRule="auto"/>
        <w:rPr>
          <w:sz w:val="20"/>
          <w:szCs w:val="20"/>
          <w:color w:val="auto"/>
        </w:rPr>
      </w:pPr>
      <w:r>
        <w:rPr>
          <w:rFonts w:ascii="Times New Roman" w:cs="Times New Roman" w:eastAsia="Times New Roman" w:hAnsi="Times New Roman"/>
          <w:sz w:val="17"/>
          <w:szCs w:val="17"/>
          <w:color w:val="auto"/>
        </w:rPr>
        <w:t>As previously disclosed in the Company's Current Report on Form 8-K filed with the SEC on August 23, 2024 ("Auditor Current Report"), on August 21, 2024, the Company, through action of the Audit Committee, dismissed Deloitte &amp; Touche LLP (“Deloitte”) as the Company's independent registered public accounting firm, effective as of August 21, 2024.</w:t>
      </w:r>
    </w:p>
    <w:p>
      <w:pPr>
        <w:spacing w:after="0" w:line="204" w:lineRule="exact"/>
        <w:rPr>
          <w:sz w:val="20"/>
          <w:szCs w:val="20"/>
          <w:color w:val="auto"/>
        </w:rPr>
      </w:pPr>
    </w:p>
    <w:p>
      <w:pPr>
        <w:ind w:right="20" w:firstLine="309"/>
        <w:spacing w:after="0" w:line="271" w:lineRule="auto"/>
        <w:rPr>
          <w:sz w:val="20"/>
          <w:szCs w:val="20"/>
          <w:color w:val="auto"/>
        </w:rPr>
      </w:pPr>
      <w:r>
        <w:rPr>
          <w:rFonts w:ascii="Times New Roman" w:cs="Times New Roman" w:eastAsia="Times New Roman" w:hAnsi="Times New Roman"/>
          <w:sz w:val="17"/>
          <w:szCs w:val="17"/>
          <w:color w:val="auto"/>
        </w:rPr>
        <w:t>The reports of Deloitte on the Company’s consolidated financial statements for the fiscal years ended December 31, 2023 and 2022 did not contain an adverse opinion or disclaimer of opinion and were not qualified or modified as to uncertainty, audit scope, or accounting principles.</w:t>
      </w:r>
    </w:p>
    <w:p>
      <w:pPr>
        <w:spacing w:after="0" w:line="177" w:lineRule="exact"/>
        <w:rPr>
          <w:sz w:val="20"/>
          <w:szCs w:val="20"/>
          <w:color w:val="auto"/>
        </w:rPr>
      </w:pPr>
    </w:p>
    <w:p>
      <w:pPr>
        <w:ind w:right="160" w:firstLine="309"/>
        <w:spacing w:after="0" w:line="254" w:lineRule="auto"/>
        <w:rPr>
          <w:sz w:val="20"/>
          <w:szCs w:val="20"/>
          <w:color w:val="auto"/>
        </w:rPr>
      </w:pPr>
      <w:r>
        <w:rPr>
          <w:rFonts w:ascii="Times New Roman" w:cs="Times New Roman" w:eastAsia="Times New Roman" w:hAnsi="Times New Roman"/>
          <w:sz w:val="17"/>
          <w:szCs w:val="17"/>
          <w:color w:val="auto"/>
        </w:rPr>
        <w:t>During the Company's fiscal years ended December 31, 2023 and 2022 and the subsequent interim period through the date of dismissal, there were no disagreements (as defined in Item 304(a)(1)(iv) of Regulation S-K and the related instructions) between the Company and Deloitte on any matter of accounting principles or practices, financial statement disclosure, or auditing scope or procedure, which disagreements, if not resolved to Deloitte’s satisfaction, would have caused Deloitte to make reference to the subject matter of the disagreements in its reports on the Company’s consolidated financial statements for such years.</w:t>
      </w:r>
    </w:p>
    <w:p>
      <w:pPr>
        <w:spacing w:after="0" w:line="204" w:lineRule="exact"/>
        <w:rPr>
          <w:sz w:val="20"/>
          <w:szCs w:val="20"/>
          <w:color w:val="auto"/>
        </w:rPr>
      </w:pPr>
    </w:p>
    <w:p>
      <w:pPr>
        <w:ind w:right="160" w:firstLine="309"/>
        <w:spacing w:after="0" w:line="271" w:lineRule="auto"/>
        <w:rPr>
          <w:sz w:val="20"/>
          <w:szCs w:val="20"/>
          <w:color w:val="auto"/>
        </w:rPr>
      </w:pPr>
      <w:r>
        <w:rPr>
          <w:rFonts w:ascii="Times New Roman" w:cs="Times New Roman" w:eastAsia="Times New Roman" w:hAnsi="Times New Roman"/>
          <w:sz w:val="17"/>
          <w:szCs w:val="17"/>
          <w:color w:val="auto"/>
        </w:rPr>
        <w:t>During the fiscal years ended December 31, 2023 and 2022 and the subsequent interim period through the date of dismissal, there were no reportable events (as defined in Item 304(a)(1)(v) of Regulation S-K).</w:t>
      </w:r>
    </w:p>
    <w:p>
      <w:pPr>
        <w:spacing w:after="0" w:line="177" w:lineRule="exact"/>
        <w:rPr>
          <w:sz w:val="20"/>
          <w:szCs w:val="20"/>
          <w:color w:val="auto"/>
        </w:rPr>
      </w:pPr>
    </w:p>
    <w:p>
      <w:pPr>
        <w:ind w:firstLine="309"/>
        <w:spacing w:after="0" w:line="262" w:lineRule="auto"/>
        <w:rPr>
          <w:sz w:val="20"/>
          <w:szCs w:val="20"/>
          <w:color w:val="auto"/>
        </w:rPr>
      </w:pPr>
      <w:r>
        <w:rPr>
          <w:rFonts w:ascii="Times New Roman" w:cs="Times New Roman" w:eastAsia="Times New Roman" w:hAnsi="Times New Roman"/>
          <w:sz w:val="17"/>
          <w:szCs w:val="17"/>
          <w:color w:val="auto"/>
        </w:rPr>
        <w:t>The Company provided Deloitte with a copy of the Auditor Current Report prior to its filing with the SEC and requested that Deloitte furnish a letter addressed to the SEC stating whether or not it agreed with the statements made by the Company. A copy of Deloitte’s letter dated August 21, 2024 was attached as Exhibit 16 to the Auditor Current Report.</w:t>
      </w:r>
    </w:p>
    <w:p>
      <w:pPr>
        <w:spacing w:after="0" w:line="185" w:lineRule="exact"/>
        <w:rPr>
          <w:sz w:val="20"/>
          <w:szCs w:val="20"/>
          <w:color w:val="auto"/>
        </w:rPr>
      </w:pPr>
    </w:p>
    <w:p>
      <w:pPr>
        <w:ind w:firstLine="309"/>
        <w:spacing w:after="0" w:line="248" w:lineRule="auto"/>
        <w:rPr>
          <w:sz w:val="20"/>
          <w:szCs w:val="20"/>
          <w:color w:val="auto"/>
        </w:rPr>
      </w:pPr>
      <w:r>
        <w:rPr>
          <w:rFonts w:ascii="Times New Roman" w:cs="Times New Roman" w:eastAsia="Times New Roman" w:hAnsi="Times New Roman"/>
          <w:sz w:val="17"/>
          <w:szCs w:val="17"/>
          <w:color w:val="auto"/>
        </w:rPr>
        <w:t>As disclosed in the Auditor Current Report, on August 21, 2024, the Audit Committee selected Ernst &amp; Young LLP ("EY") as the Company's independent registered public accounting firm for the fiscal year ended December 31, 2024. This appointment was effective as of August 21, 2024. During the fiscal years ended December 31, 2023 and 2022 and the subsequent interim period prior to engagement, the Company did not consult with EY regarding: (a) the application of accounting principles to a specified transaction, either completed or proposed; or the type of audit opinion that might be rendered on the Company’s financial statements, and neither a written report was provided to the Company nor oral advice was provided that EY concluded was an important factor considered by the Company in reaching a decision as to the accounting, auditing or financial reporting issue; or (b) any matter that was either the subject of a disagreement (as defined in Item 304(a)(1)(iv) of Regulation S-K and the related instructions) or a reportable event (as defined in Item 304(a)(1)(v) of Regulation S-K).</w:t>
      </w:r>
    </w:p>
    <w:p>
      <w:pPr>
        <w:spacing w:after="0" w:line="210" w:lineRule="exact"/>
        <w:rPr>
          <w:sz w:val="20"/>
          <w:szCs w:val="20"/>
          <w:color w:val="auto"/>
        </w:rPr>
      </w:pPr>
    </w:p>
    <w:p>
      <w:pPr>
        <w:ind w:right="140" w:firstLine="309"/>
        <w:spacing w:after="0" w:line="254" w:lineRule="auto"/>
        <w:rPr>
          <w:sz w:val="20"/>
          <w:szCs w:val="20"/>
          <w:color w:val="auto"/>
        </w:rPr>
      </w:pPr>
      <w:r>
        <w:rPr>
          <w:rFonts w:ascii="Times New Roman" w:cs="Times New Roman" w:eastAsia="Times New Roman" w:hAnsi="Times New Roman"/>
          <w:sz w:val="17"/>
          <w:szCs w:val="17"/>
          <w:color w:val="auto"/>
        </w:rPr>
        <w:t>Although ratification of the selection of EY is not required by our bylaws or otherwise, the Board is submitting the selection of EY to our stockholders for ratification as a matter of good corporate governance. If the selection is not ratified, the Audit Committee will consider whether it is appropriate to select another independent registered public accounting firm. Even if the selection is ratified, the Audit Committee in its discretion may select a different registered public accounting firm at any time during the year if the committee determines that such a change would be in the best interests of the Company and our stockholders.</w:t>
      </w:r>
    </w:p>
    <w:p>
      <w:pPr>
        <w:spacing w:after="0" w:line="191" w:lineRule="exact"/>
        <w:rPr>
          <w:sz w:val="20"/>
          <w:szCs w:val="20"/>
          <w:color w:val="auto"/>
        </w:rPr>
      </w:pPr>
    </w:p>
    <w:p>
      <w:pPr>
        <w:ind w:right="40" w:firstLine="309"/>
        <w:spacing w:after="0" w:line="271" w:lineRule="auto"/>
        <w:rPr>
          <w:sz w:val="20"/>
          <w:szCs w:val="20"/>
          <w:color w:val="auto"/>
        </w:rPr>
      </w:pPr>
      <w:r>
        <w:rPr>
          <w:rFonts w:ascii="Times New Roman" w:cs="Times New Roman" w:eastAsia="Times New Roman" w:hAnsi="Times New Roman"/>
          <w:sz w:val="17"/>
          <w:szCs w:val="17"/>
          <w:color w:val="auto"/>
        </w:rPr>
        <w:t>A representative of EY is expected to attend the Annual Meeting and will have an opportunity to make a statement if he or she so chooses. The representative will also be available to respond to appropriate questions from stockholders.</w:t>
      </w:r>
    </w:p>
    <w:p>
      <w:pPr>
        <w:spacing w:after="0" w:line="186" w:lineRule="exact"/>
        <w:rPr>
          <w:sz w:val="20"/>
          <w:szCs w:val="20"/>
          <w:color w:val="auto"/>
        </w:rPr>
      </w:pPr>
    </w:p>
    <w:p>
      <w:pPr>
        <w:jc w:val="center"/>
        <w:ind w:left="380" w:right="540"/>
        <w:spacing w:after="0" w:line="276" w:lineRule="auto"/>
        <w:rPr>
          <w:sz w:val="20"/>
          <w:szCs w:val="20"/>
          <w:color w:val="auto"/>
        </w:rPr>
      </w:pPr>
      <w:r>
        <w:rPr>
          <w:rFonts w:ascii="Times New Roman" w:cs="Times New Roman" w:eastAsia="Times New Roman" w:hAnsi="Times New Roman"/>
          <w:sz w:val="17"/>
          <w:szCs w:val="17"/>
          <w:b w:val="1"/>
          <w:bCs w:val="1"/>
          <w:color w:val="auto"/>
        </w:rPr>
        <w:t>THE BOARD UNANIMOUSLY RECOMMENDS THAT YOU VOTE "FOR" THE RATIFICATION OF THE AUDIT COMMITTEE’S APPOINTMENT OF EY AS THE COMPANY'S INDEPENDENT REGISTERED PUBLIC ACCOUNTING FIRM.</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FEES PAID TO INDEPENDENT REGISTERED PUBLIC ACCOUNTING FIRM</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EY served as Surgery Partners' independent auditors for the fiscal years ended December 31, 2024 and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on Audit Committee Pre-Approval of Audit and Permissible Non-Audit Services of Independent Registered Public Accounting Firm</w:t>
      </w:r>
    </w:p>
    <w:p>
      <w:pPr>
        <w:spacing w:after="0" w:line="169" w:lineRule="exact"/>
        <w:rPr>
          <w:sz w:val="20"/>
          <w:szCs w:val="20"/>
          <w:color w:val="auto"/>
        </w:rPr>
      </w:pPr>
    </w:p>
    <w:p>
      <w:pPr>
        <w:ind w:right="180" w:firstLine="309"/>
        <w:spacing w:after="0" w:line="248" w:lineRule="auto"/>
        <w:rPr>
          <w:sz w:val="20"/>
          <w:szCs w:val="20"/>
          <w:color w:val="auto"/>
        </w:rPr>
      </w:pPr>
      <w:r>
        <w:rPr>
          <w:rFonts w:ascii="Times New Roman" w:cs="Times New Roman" w:eastAsia="Times New Roman" w:hAnsi="Times New Roman"/>
          <w:sz w:val="17"/>
          <w:szCs w:val="17"/>
          <w:color w:val="auto"/>
        </w:rPr>
        <w:t xml:space="preserve">The Audit Committee pre-approves all auditing services and permitted non-audit services (including the fees and terms thereof) to be performed by the Company's independent registered public accounting firm, subject to the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exception for non-audit services that are approved by the Audit Committee prior to the completion of an audit. Each member of the Audit Committee has been delegated the authority to pre-approve any audit services, provided that such approvals must be presented to the full Audit Committee at its next scheduled meeting. EY was appointed as the Company's independent registered public accounting firm, effective August 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All services performed by EY after this appointment were pre-approved by the Audit Committee.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and Other Fees for Past Two Fiscal Years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years ended December 31, 2025 and 2024, the Company incurred the following aggregate fees for services performed by EY:</w:t>
      </w:r>
    </w:p>
    <w:p>
      <w:pPr>
        <w:spacing w:after="0" w:line="278" w:lineRule="exact"/>
        <w:rPr>
          <w:sz w:val="20"/>
          <w:szCs w:val="20"/>
          <w:color w:val="auto"/>
        </w:rPr>
      </w:pPr>
    </w:p>
    <w:tbl>
      <w:tblPr>
        <w:tblLayout w:type="fixed"/>
        <w:tblInd w:w="1020" w:type="dxa"/>
        <w:tblCellMar>
          <w:top w:w="0" w:type="dxa"/>
          <w:left w:w="0" w:type="dxa"/>
          <w:bottom w:w="0" w:type="dxa"/>
          <w:right w:w="0" w:type="dxa"/>
        </w:tblCellMar>
      </w:tblPr>
      <w:tr>
        <w:trPr>
          <w:trHeight w:val="227"/>
        </w:trPr>
        <w:tc>
          <w:tcPr>
            <w:tcW w:w="57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576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3,736,292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3,208,896</w:t>
            </w:r>
          </w:p>
        </w:tc>
      </w:tr>
      <w:tr>
        <w:trPr>
          <w:trHeight w:val="219"/>
        </w:trPr>
        <w:tc>
          <w:tcPr>
            <w:tcW w:w="57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Audit-Related Fees </w:t>
            </w:r>
            <w:r>
              <w:rPr>
                <w:rFonts w:ascii="Times New Roman" w:cs="Times New Roman" w:eastAsia="Times New Roman" w:hAnsi="Times New Roman"/>
                <w:sz w:val="22"/>
                <w:szCs w:val="22"/>
                <w:color w:val="auto"/>
                <w:vertAlign w:val="superscript"/>
              </w:rPr>
              <w:t>(2)</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2"/>
                <w:szCs w:val="22"/>
                <w:color w:val="auto"/>
                <w:vertAlign w:val="superscript"/>
              </w:rPr>
              <w:t>(3)</w:t>
            </w: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97,994</w:t>
            </w:r>
          </w:p>
        </w:tc>
      </w:tr>
      <w:tr>
        <w:trPr>
          <w:trHeight w:val="219"/>
        </w:trPr>
        <w:tc>
          <w:tcPr>
            <w:tcW w:w="576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2"/>
                <w:szCs w:val="22"/>
                <w:color w:val="auto"/>
                <w:vertAlign w:val="superscript"/>
              </w:rPr>
              <w:t>(4)</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70,651</w:t>
            </w:r>
          </w:p>
        </w:tc>
      </w:tr>
      <w:tr>
        <w:trPr>
          <w:trHeight w:val="21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4,206,292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3,377,541</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w:t>
      </w:r>
    </w:p>
    <w:p>
      <w:pPr>
        <w:spacing w:after="0" w:line="165" w:lineRule="exact"/>
        <w:rPr>
          <w:sz w:val="20"/>
          <w:szCs w:val="20"/>
          <w:color w:val="auto"/>
        </w:rPr>
      </w:pPr>
    </w:p>
    <w:p>
      <w:pPr>
        <w:ind w:left="320" w:right="100" w:hanging="317"/>
        <w:spacing w:after="0" w:line="264" w:lineRule="auto"/>
        <w:tabs>
          <w:tab w:leader="none" w:pos="31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include fees for the last two years for professional services rendered by the independent registered public accountants in connection with (i) the audits of the Company's annual consolidated financial statements, (ii) the audits of the Company's internal control over financial reporting, (iii) the review of the Company's quarterly condensed consolidated financial statements, and (iv) services that are provided by EY related to regulatory filings and private placement debt offerings, including billings for out-of-pocket expenses incurred.</w:t>
      </w:r>
    </w:p>
    <w:p>
      <w:pPr>
        <w:spacing w:after="0" w:line="16"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related services performed during 2025.</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related services performed during 2024.</w:t>
      </w:r>
    </w:p>
    <w:p>
      <w:pPr>
        <w:spacing w:after="0" w:line="62" w:lineRule="exact"/>
        <w:rPr>
          <w:rFonts w:ascii="Times New Roman" w:cs="Times New Roman" w:eastAsia="Times New Roman" w:hAnsi="Times New Roman"/>
          <w:sz w:val="17"/>
          <w:szCs w:val="17"/>
          <w:color w:val="auto"/>
        </w:rPr>
      </w:pPr>
    </w:p>
    <w:p>
      <w:pPr>
        <w:ind w:left="320" w:hanging="317"/>
        <w:spacing w:after="0" w:line="270" w:lineRule="auto"/>
        <w:tabs>
          <w:tab w:leader="none" w:pos="31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Fees encompasses any services provided other than the services reported as Audit Fees, Audit-Related Fees or Tax Fees, which in 2025 were related to sell-side due diligence and in 2024 were related to advisory services performed by EY prior to being appointed as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169" w:lineRule="exact"/>
        <w:rPr>
          <w:sz w:val="20"/>
          <w:szCs w:val="20"/>
          <w:color w:val="auto"/>
        </w:rPr>
      </w:pPr>
    </w:p>
    <w:p>
      <w:pPr>
        <w:ind w:right="100" w:firstLine="309"/>
        <w:spacing w:after="0" w:line="254" w:lineRule="auto"/>
        <w:rPr>
          <w:sz w:val="20"/>
          <w:szCs w:val="20"/>
          <w:color w:val="auto"/>
        </w:rPr>
      </w:pPr>
      <w:r>
        <w:rPr>
          <w:rFonts w:ascii="Times New Roman" w:cs="Times New Roman" w:eastAsia="Times New Roman" w:hAnsi="Times New Roman"/>
          <w:sz w:val="17"/>
          <w:szCs w:val="17"/>
          <w:color w:val="auto"/>
        </w:rPr>
        <w:t>The Audit Committee of the Board is currently composed of the three directors named below, each of whom is an independent director (as independence is defined in the Nasdaq rules and Rule 10A-3 under the Exchange Act). Each member of the Audit Committee who served at any time during the fiscal year ended December 31, 2025 is financially literate (as that qualification has been interpreted by the Board in its business judgment), and at least one member of the Audit Committee qualifies as an "audit committee financial expert" as such term is defined by the SEC. The Audit Committee operates under a written charter.</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Audit Committee hereby submits the following report:</w:t>
      </w:r>
    </w:p>
    <w:p>
      <w:pPr>
        <w:spacing w:after="0" w:line="243" w:lineRule="exact"/>
        <w:rPr>
          <w:sz w:val="20"/>
          <w:szCs w:val="20"/>
          <w:color w:val="auto"/>
        </w:rPr>
      </w:pPr>
    </w:p>
    <w:p>
      <w:pPr>
        <w:ind w:left="620" w:right="340" w:hanging="307"/>
        <w:spacing w:after="0" w:line="271"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has reviewed and discussed with management the Company's audited consolidated financial statements as of, and for, the year ended December 31, 2025.</w:t>
      </w:r>
    </w:p>
    <w:p>
      <w:pPr>
        <w:spacing w:after="0" w:line="177"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has discussed with the Company's independent registered public accounting firm, EY, the matters required to be discussed by the applicable requirements of the Public Company Accounting Oversight Board (the "PCAOB") and the SEC.</w:t>
      </w:r>
    </w:p>
    <w:p>
      <w:pPr>
        <w:spacing w:after="0" w:line="164" w:lineRule="exact"/>
        <w:rPr>
          <w:rFonts w:ascii="Times New Roman" w:cs="Times New Roman" w:eastAsia="Times New Roman" w:hAnsi="Times New Roman"/>
          <w:sz w:val="17"/>
          <w:szCs w:val="17"/>
          <w:color w:val="auto"/>
        </w:rPr>
      </w:pPr>
    </w:p>
    <w:p>
      <w:pPr>
        <w:ind w:left="620" w:right="440" w:hanging="307"/>
        <w:spacing w:after="0" w:line="271"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has received and reviewed the written disclosures and the letter from EY required by applicable requirements of the PCAOB regarding EY's communications with the Audit Committee concerning independence, and has discussed with EY such firm's independence.</w:t>
      </w:r>
    </w:p>
    <w:p>
      <w:pPr>
        <w:spacing w:after="0" w:line="190" w:lineRule="exact"/>
        <w:rPr>
          <w:sz w:val="20"/>
          <w:szCs w:val="20"/>
          <w:color w:val="auto"/>
        </w:rPr>
      </w:pPr>
    </w:p>
    <w:p>
      <w:pPr>
        <w:ind w:firstLine="309"/>
        <w:spacing w:after="0" w:line="271" w:lineRule="auto"/>
        <w:rPr>
          <w:sz w:val="20"/>
          <w:szCs w:val="20"/>
          <w:color w:val="auto"/>
        </w:rPr>
      </w:pPr>
      <w:r>
        <w:rPr>
          <w:rFonts w:ascii="Times New Roman" w:cs="Times New Roman" w:eastAsia="Times New Roman" w:hAnsi="Times New Roman"/>
          <w:sz w:val="17"/>
          <w:szCs w:val="17"/>
          <w:color w:val="auto"/>
        </w:rPr>
        <w:t>Based on the foregoing review and discussions, the Audit Committee recommended to the Board that the financial statements referred to above be included in the Company's Annual Report on Form 10-K for the year ended December 31, 2025 for filing with the SEC.</w:t>
      </w:r>
    </w:p>
    <w:p>
      <w:pPr>
        <w:spacing w:after="0" w:line="200" w:lineRule="exact"/>
        <w:rPr>
          <w:sz w:val="20"/>
          <w:szCs w:val="20"/>
          <w:color w:val="auto"/>
        </w:rPr>
      </w:pPr>
    </w:p>
    <w:p>
      <w:pPr>
        <w:spacing w:after="0" w:line="20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Submitted by the Audit Committee:</w:t>
      </w:r>
    </w:p>
    <w:p>
      <w:pPr>
        <w:spacing w:after="0" w:line="28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Brent Turner, Chairman</w:t>
      </w:r>
    </w:p>
    <w:p>
      <w:pPr>
        <w:spacing w:after="0" w:line="6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Teresa DeLuca, M.D.</w:t>
      </w:r>
    </w:p>
    <w:p>
      <w:pPr>
        <w:spacing w:after="0" w:line="4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John A. Deane</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EQUITY COMPENSATION PLANS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represents securities authorized for issuance under the Company's equity compensation plans as of December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 Securities</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6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Remaining Available</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 Securities to</w:t>
            </w: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for Future Issuance</w:t>
            </w:r>
          </w:p>
        </w:tc>
        <w:tc>
          <w:tcPr>
            <w:tcW w:w="0" w:type="dxa"/>
            <w:vAlign w:val="bottom"/>
          </w:tcPr>
          <w:p>
            <w:pPr>
              <w:spacing w:after="0"/>
              <w:rPr>
                <w:sz w:val="1"/>
                <w:szCs w:val="1"/>
                <w:color w:val="auto"/>
              </w:rPr>
            </w:pPr>
          </w:p>
        </w:tc>
      </w:tr>
      <w:tr>
        <w:trPr>
          <w:trHeight w:val="168"/>
        </w:trPr>
        <w:tc>
          <w:tcPr>
            <w:tcW w:w="586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7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Under Equity</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15"/>
                <w:szCs w:val="15"/>
                <w:color w:val="auto"/>
              </w:rPr>
            </w:pPr>
          </w:p>
        </w:tc>
        <w:tc>
          <w:tcPr>
            <w:tcW w:w="18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be Issued Upon</w:t>
            </w:r>
          </w:p>
        </w:tc>
        <w:tc>
          <w:tcPr>
            <w:tcW w:w="1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76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Compensation Plans</w:t>
            </w:r>
          </w:p>
        </w:tc>
        <w:tc>
          <w:tcPr>
            <w:tcW w:w="0" w:type="dxa"/>
            <w:vAlign w:val="bottom"/>
          </w:tcPr>
          <w:p>
            <w:pPr>
              <w:spacing w:after="0"/>
              <w:rPr>
                <w:sz w:val="1"/>
                <w:szCs w:val="1"/>
                <w:color w:val="auto"/>
              </w:rPr>
            </w:pPr>
          </w:p>
        </w:tc>
      </w:tr>
      <w:tr>
        <w:trPr>
          <w:trHeight w:val="168"/>
        </w:trPr>
        <w:tc>
          <w:tcPr>
            <w:tcW w:w="5860" w:type="dxa"/>
            <w:vAlign w:val="bottom"/>
          </w:tcPr>
          <w:p>
            <w:pPr>
              <w:spacing w:after="0"/>
              <w:rPr>
                <w:sz w:val="14"/>
                <w:szCs w:val="14"/>
                <w:color w:val="auto"/>
              </w:rPr>
            </w:pPr>
          </w:p>
        </w:tc>
        <w:tc>
          <w:tcPr>
            <w:tcW w:w="18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Exercise of</w:t>
            </w:r>
          </w:p>
        </w:tc>
        <w:tc>
          <w:tcPr>
            <w:tcW w:w="100" w:type="dxa"/>
            <w:vAlign w:val="bottom"/>
          </w:tcPr>
          <w:p>
            <w:pPr>
              <w:spacing w:after="0"/>
              <w:rPr>
                <w:sz w:val="14"/>
                <w:szCs w:val="14"/>
                <w:color w:val="auto"/>
              </w:rPr>
            </w:pPr>
          </w:p>
        </w:tc>
        <w:tc>
          <w:tcPr>
            <w:tcW w:w="1720" w:type="dxa"/>
            <w:vAlign w:val="bottom"/>
          </w:tcPr>
          <w:p>
            <w:pPr>
              <w:jc w:val="center"/>
              <w:ind w:right="34"/>
              <w:spacing w:after="0" w:line="167" w:lineRule="exact"/>
              <w:rPr>
                <w:sz w:val="20"/>
                <w:szCs w:val="20"/>
                <w:color w:val="auto"/>
              </w:rPr>
            </w:pPr>
            <w:r>
              <w:rPr>
                <w:rFonts w:ascii="Times New Roman" w:cs="Times New Roman" w:eastAsia="Times New Roman" w:hAnsi="Times New Roman"/>
                <w:sz w:val="17"/>
                <w:szCs w:val="17"/>
                <w:b w:val="1"/>
                <w:bCs w:val="1"/>
                <w:color w:val="auto"/>
              </w:rPr>
              <w:t>Exercise Price of</w:t>
            </w:r>
          </w:p>
        </w:tc>
        <w:tc>
          <w:tcPr>
            <w:tcW w:w="17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(Excluding Securities</w:t>
            </w:r>
          </w:p>
        </w:tc>
        <w:tc>
          <w:tcPr>
            <w:tcW w:w="0" w:type="dxa"/>
            <w:vAlign w:val="bottom"/>
          </w:tcPr>
          <w:p>
            <w:pPr>
              <w:spacing w:after="0"/>
              <w:rPr>
                <w:sz w:val="1"/>
                <w:szCs w:val="1"/>
                <w:color w:val="auto"/>
              </w:rPr>
            </w:pPr>
          </w:p>
        </w:tc>
      </w:tr>
      <w:tr>
        <w:trPr>
          <w:trHeight w:val="180"/>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8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Outstanding Options,</w:t>
            </w:r>
          </w:p>
        </w:tc>
        <w:tc>
          <w:tcPr>
            <w:tcW w:w="100" w:type="dxa"/>
            <w:vAlign w:val="bottom"/>
          </w:tcPr>
          <w:p>
            <w:pPr>
              <w:spacing w:after="0"/>
              <w:rPr>
                <w:sz w:val="15"/>
                <w:szCs w:val="15"/>
                <w:color w:val="auto"/>
              </w:rPr>
            </w:pPr>
          </w:p>
        </w:tc>
        <w:tc>
          <w:tcPr>
            <w:tcW w:w="172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7"/>
                <w:szCs w:val="17"/>
                <w:b w:val="1"/>
                <w:bCs w:val="1"/>
                <w:color w:val="auto"/>
              </w:rPr>
              <w:t>Outstanding Options,</w:t>
            </w:r>
          </w:p>
        </w:tc>
        <w:tc>
          <w:tcPr>
            <w:tcW w:w="176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Reflected in the First</w:t>
            </w:r>
          </w:p>
        </w:tc>
        <w:tc>
          <w:tcPr>
            <w:tcW w:w="0" w:type="dxa"/>
            <w:vAlign w:val="bottom"/>
          </w:tcPr>
          <w:p>
            <w:pPr>
              <w:spacing w:after="0"/>
              <w:rPr>
                <w:sz w:val="1"/>
                <w:szCs w:val="1"/>
                <w:color w:val="auto"/>
              </w:rPr>
            </w:pPr>
          </w:p>
        </w:tc>
      </w:tr>
      <w:tr>
        <w:trPr>
          <w:trHeight w:val="219"/>
        </w:trPr>
        <w:tc>
          <w:tcPr>
            <w:tcW w:w="5860" w:type="dxa"/>
            <w:vAlign w:val="bottom"/>
            <w:tcBorders>
              <w:bottom w:val="single" w:sz="8" w:color="auto"/>
            </w:tcBorders>
            <w:vMerge w:val="continue"/>
          </w:tcPr>
          <w:p>
            <w:pPr>
              <w:spacing w:after="0"/>
              <w:rPr>
                <w:sz w:val="19"/>
                <w:szCs w:val="19"/>
                <w:color w:val="auto"/>
              </w:rPr>
            </w:pPr>
          </w:p>
        </w:tc>
        <w:tc>
          <w:tcPr>
            <w:tcW w:w="180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7"/>
                <w:szCs w:val="17"/>
                <w:b w:val="1"/>
                <w:bCs w:val="1"/>
                <w:color w:val="auto"/>
                <w:w w:val="98"/>
              </w:rPr>
              <w:t xml:space="preserve">Warrants and Rights </w:t>
            </w:r>
            <w:r>
              <w:rPr>
                <w:rFonts w:ascii="Times New Roman" w:cs="Times New Roman" w:eastAsia="Times New Roman" w:hAnsi="Times New Roman"/>
                <w:sz w:val="22"/>
                <w:szCs w:val="22"/>
                <w:b w:val="1"/>
                <w:bCs w:val="1"/>
                <w:color w:val="auto"/>
                <w:w w:val="98"/>
                <w:vertAlign w:val="superscript"/>
              </w:rPr>
              <w:t>(1)</w:t>
            </w: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Warrants and Rights</w:t>
            </w:r>
          </w:p>
        </w:tc>
        <w:tc>
          <w:tcPr>
            <w:tcW w:w="176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7"/>
                <w:szCs w:val="17"/>
                <w:b w:val="1"/>
                <w:bCs w:val="1"/>
                <w:color w:val="auto"/>
                <w:w w:val="95"/>
              </w:rPr>
              <w:t xml:space="preserve">Column) </w:t>
            </w:r>
            <w:r>
              <w:rPr>
                <w:rFonts w:ascii="Times New Roman" w:cs="Times New Roman" w:eastAsia="Times New Roman" w:hAnsi="Times New Roman"/>
                <w:sz w:val="22"/>
                <w:szCs w:val="22"/>
                <w:b w:val="1"/>
                <w:bCs w:val="1"/>
                <w:color w:val="auto"/>
                <w:w w:val="95"/>
                <w:vertAlign w:val="superscript"/>
              </w:rPr>
              <w:t>(2)</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1,710,893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12.12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4,822,458</w:t>
            </w:r>
          </w:p>
        </w:tc>
        <w:tc>
          <w:tcPr>
            <w:tcW w:w="0" w:type="dxa"/>
            <w:vAlign w:val="bottom"/>
          </w:tcPr>
          <w:p>
            <w:pPr>
              <w:spacing w:after="0"/>
              <w:rPr>
                <w:sz w:val="1"/>
                <w:szCs w:val="1"/>
                <w:color w:val="auto"/>
              </w:rPr>
            </w:pPr>
          </w:p>
        </w:tc>
      </w:tr>
      <w:tr>
        <w:trPr>
          <w:trHeight w:val="21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1,710,893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12.12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4,822,458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20" w:right="20" w:hanging="317"/>
        <w:spacing w:after="0" w:line="284" w:lineRule="auto"/>
        <w:tabs>
          <w:tab w:leader="none" w:pos="31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784,048 unearned performance stock units subject to achievement of various performance conditions, which are not included in the weighted-average exercise price.</w:t>
      </w:r>
    </w:p>
    <w:p>
      <w:pPr>
        <w:spacing w:after="0" w:line="1"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available for future issuance under the 2025 Incentive Plan.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RELATED PERSON TRANSACTIONS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Person Transaction Policy</w:t>
      </w:r>
    </w:p>
    <w:p>
      <w:pPr>
        <w:spacing w:after="0" w:line="234" w:lineRule="exact"/>
        <w:rPr>
          <w:sz w:val="20"/>
          <w:szCs w:val="20"/>
          <w:color w:val="auto"/>
        </w:rPr>
      </w:pPr>
    </w:p>
    <w:p>
      <w:pPr>
        <w:jc w:val="both"/>
        <w:ind w:right="420" w:firstLine="309"/>
        <w:spacing w:after="0" w:line="262" w:lineRule="auto"/>
        <w:rPr>
          <w:sz w:val="20"/>
          <w:szCs w:val="20"/>
          <w:color w:val="auto"/>
        </w:rPr>
      </w:pPr>
      <w:r>
        <w:rPr>
          <w:rFonts w:ascii="Times New Roman" w:cs="Times New Roman" w:eastAsia="Times New Roman" w:hAnsi="Times New Roman"/>
          <w:sz w:val="17"/>
          <w:szCs w:val="17"/>
          <w:color w:val="auto"/>
        </w:rPr>
        <w:t>We have adopted a formal written policy with respect to the review, approval and ratification of related person transactions. Under the policy, our Audit Committee is responsible for reviewing and approving related person transactions. In the course of its review and approval of related person transactions, our Audit Committee considers the relevant facts and circumstances to decide whether to approve such transactions, including, but not limited to:</w:t>
      </w:r>
    </w:p>
    <w:p>
      <w:pPr>
        <w:spacing w:after="0" w:line="185" w:lineRule="exact"/>
        <w:rPr>
          <w:sz w:val="20"/>
          <w:szCs w:val="20"/>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a director's independence in the event the related person is a director or an immediate family member of the director;</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benefits to us of the proposed transaction;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availability of other sources of comparable products or services;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transaction; and</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available to an unrelated third party or to employees generally.</w:t>
      </w:r>
    </w:p>
    <w:p>
      <w:pPr>
        <w:spacing w:after="0" w:line="23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Audit Committee may also consider such factors as: the related person's relationship to us and interest in the transaction, and the material facts of the proposed transaction, including the proposed aggregate value of the transaction. The Audit Committee may approve only those transactions that are in, or are not inconsistent with, our best interests and those of our stockholders, as the Audit Committee determines in good faith.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21" w:lineRule="exact"/>
        <w:rPr>
          <w:sz w:val="20"/>
          <w:szCs w:val="20"/>
          <w:color w:val="auto"/>
        </w:rPr>
      </w:pPr>
    </w:p>
    <w:p>
      <w:pPr>
        <w:ind w:firstLine="309"/>
        <w:spacing w:after="0" w:line="243" w:lineRule="auto"/>
        <w:rPr>
          <w:sz w:val="20"/>
          <w:szCs w:val="20"/>
          <w:color w:val="auto"/>
        </w:rPr>
      </w:pPr>
      <w:r>
        <w:rPr>
          <w:rFonts w:ascii="Times New Roman" w:cs="Times New Roman" w:eastAsia="Times New Roman" w:hAnsi="Times New Roman"/>
          <w:sz w:val="17"/>
          <w:szCs w:val="17"/>
          <w:color w:val="auto"/>
        </w:rPr>
        <w:t>On August 31, 2017, the Company entered into an Amended and Restated Registration Rights Agreement (the “Registration Rights Agreement”) with certain securityholders of the Company and certain other parties thereto, including Bain Capital. Pursuant to the Registration Rights Agreement, among other things, and subject to certain limitations, the Company agreed to use commercially reasonable efforts to effect the registration under the Securities Act of 1933, as amended, of the registrable shares held by the parties to the Registration Rights Agreement. The Company also agreed to provide, with certain exceptions, certain piggyback registration rights with respect to such registrable shares, as described in the Registration Rights Agreement. Additionally, in connection with the private issuance and sale of our common stock to certain affiliates of Bain Capital on December 22, 2022 (the “Private Placement”), the Registration Rights Agreement was amended to extend the registration rights granted thereunder to the shares purchased in the Private Placement.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234" w:lineRule="exact"/>
        <w:rPr>
          <w:sz w:val="20"/>
          <w:szCs w:val="20"/>
          <w:color w:val="auto"/>
        </w:rPr>
      </w:pPr>
    </w:p>
    <w:p>
      <w:pPr>
        <w:ind w:firstLine="309"/>
        <w:spacing w:after="0" w:line="262" w:lineRule="auto"/>
        <w:rPr>
          <w:sz w:val="20"/>
          <w:szCs w:val="20"/>
          <w:color w:val="auto"/>
        </w:rPr>
      </w:pPr>
      <w:r>
        <w:rPr>
          <w:rFonts w:ascii="Times New Roman" w:cs="Times New Roman" w:eastAsia="Times New Roman" w:hAnsi="Times New Roman"/>
          <w:sz w:val="17"/>
          <w:szCs w:val="17"/>
          <w:color w:val="auto"/>
        </w:rPr>
        <w:t>We enter into indemnification agreements with each of our directors and executive officers. These agreements require us to indemnify these individuals and, in certain cases, affiliates of such individuals, to the fullest extent permissible under Delaware law against liabilities that may arise by reason of their service to us or at our direction, and to advance expenses incurred as a result of any proceeding against them as to which they could be indemnified.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MATTERS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Conduct and Corporate Governance Guidelines</w:t>
      </w:r>
    </w:p>
    <w:p>
      <w:pPr>
        <w:spacing w:after="0" w:line="234" w:lineRule="exact"/>
        <w:rPr>
          <w:sz w:val="20"/>
          <w:szCs w:val="20"/>
          <w:color w:val="auto"/>
        </w:rPr>
      </w:pPr>
    </w:p>
    <w:p>
      <w:pPr>
        <w:ind w:right="100" w:firstLine="309"/>
        <w:spacing w:after="0" w:line="287" w:lineRule="auto"/>
        <w:rPr>
          <w:sz w:val="20"/>
          <w:szCs w:val="20"/>
          <w:color w:val="auto"/>
        </w:rPr>
      </w:pPr>
      <w:r>
        <w:rPr>
          <w:rFonts w:ascii="Times New Roman" w:cs="Times New Roman" w:eastAsia="Times New Roman" w:hAnsi="Times New Roman"/>
          <w:sz w:val="17"/>
          <w:szCs w:val="17"/>
          <w:color w:val="auto"/>
        </w:rPr>
        <w:t>We have adopted a Code of Conduct which is applicable to all our directors, officers and employees (the "Code of Conduct"). To the extent required pursuant to applicable SEC regulations, we intend to post amendments to, or waivers from, our Code of Conduct on our website.</w:t>
      </w:r>
    </w:p>
    <w:p>
      <w:pPr>
        <w:spacing w:after="0" w:line="164" w:lineRule="exact"/>
        <w:rPr>
          <w:sz w:val="20"/>
          <w:szCs w:val="20"/>
          <w:color w:val="auto"/>
        </w:rPr>
      </w:pPr>
    </w:p>
    <w:p>
      <w:pPr>
        <w:ind w:right="20" w:firstLine="309"/>
        <w:spacing w:after="0" w:line="262" w:lineRule="auto"/>
        <w:rPr>
          <w:sz w:val="20"/>
          <w:szCs w:val="20"/>
          <w:color w:val="auto"/>
        </w:rPr>
      </w:pPr>
      <w:r>
        <w:rPr>
          <w:rFonts w:ascii="Times New Roman" w:cs="Times New Roman" w:eastAsia="Times New Roman" w:hAnsi="Times New Roman"/>
          <w:sz w:val="17"/>
          <w:szCs w:val="17"/>
          <w:color w:val="auto"/>
        </w:rPr>
        <w:t>Copies of our Code of Conduct and Corporate Governance Guidelines are available, free of charge, on the "Investors - Governance" page of our website at www.surgerypartners.com, or by sending a written request to our Chief Administrative and Development Officer at Surgery Partners, Inc., 340 Seven Springs Way, Suite 600, Brentwood, Tennessee 37027.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34" w:lineRule="exact"/>
        <w:rPr>
          <w:sz w:val="20"/>
          <w:szCs w:val="20"/>
          <w:color w:val="auto"/>
        </w:rPr>
      </w:pPr>
    </w:p>
    <w:p>
      <w:pPr>
        <w:ind w:right="20" w:firstLine="309"/>
        <w:spacing w:after="0" w:line="262" w:lineRule="auto"/>
        <w:rPr>
          <w:sz w:val="20"/>
          <w:szCs w:val="20"/>
          <w:color w:val="auto"/>
        </w:rPr>
      </w:pPr>
      <w:r>
        <w:rPr>
          <w:rFonts w:ascii="Times New Roman" w:cs="Times New Roman" w:eastAsia="Times New Roman" w:hAnsi="Times New Roman"/>
          <w:sz w:val="17"/>
          <w:szCs w:val="17"/>
          <w:color w:val="auto"/>
        </w:rPr>
        <w:t>We have adopted an Insider Trading Policy that governs the purchase, sale, and/or other transactions of our securities by our directors, officers and employees. In addition, with regard to the Company’s trading in its own securities, it is the Company’s policy to comply with the federal securities laws and the applicable exchange listing requirements.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Availability of Certain Documents</w:t>
      </w:r>
    </w:p>
    <w:p>
      <w:pPr>
        <w:spacing w:after="0" w:line="234" w:lineRule="exact"/>
        <w:rPr>
          <w:sz w:val="20"/>
          <w:szCs w:val="20"/>
          <w:color w:val="auto"/>
        </w:rPr>
      </w:pPr>
    </w:p>
    <w:p>
      <w:pPr>
        <w:ind w:firstLine="309"/>
        <w:spacing w:after="0" w:line="246" w:lineRule="auto"/>
        <w:rPr>
          <w:sz w:val="20"/>
          <w:szCs w:val="20"/>
          <w:color w:val="auto"/>
        </w:rPr>
      </w:pPr>
      <w:r>
        <w:rPr>
          <w:rFonts w:ascii="Times New Roman" w:cs="Times New Roman" w:eastAsia="Times New Roman" w:hAnsi="Times New Roman"/>
          <w:sz w:val="17"/>
          <w:szCs w:val="17"/>
          <w:color w:val="auto"/>
        </w:rPr>
        <w:t>Householding is a program adopted by the SEC that permits companies and intermediaries (e.g., brokers) to satisfy the delivery requirements for annual reports, proxy statements and the notices of internet availability of proxy materials sent to multiple stockholders of record who have the same address by delivering a single annual report, proxy statement or notice of internet availability of proxy materials to that address. Householding is designed to reduce a company's printing costs and postage fees. Brokers with account holders who are stockholders of the Company may be householding the Company's proxy materials. If your household participates in the householding program, you will receive one Notice of Internet Availability. If you are a beneficial holder, you can request information about householding from your broker, bank or other nominee. If at any time you no longer wish to participate in householding and would prefer to receive a separate proxy statement, annual report or notice of internet availability of proxy materials, please notify your broker if your shares are held in a brokerage account or us if you are a stockholder of record. We will undertake to deliver promptly, upon written or oral request, a separate copy to a stockholder at a shared address. You may notify us either by calling us at (615) 234-5900 or by writing to us at Surgery Partners, Inc., 340 Seven Springs Way, Suite 600, Brentwood, Tennessee 37027, Attn: Chief Administrative and Development Officer, and providing your name, your shared address, and the address to which we should direct the additional copy of the annual report or proxy materials. Multiple stockholders sharing an address who have received one copy of a mailing and would prefer us to mail each stockholder a separate copy of future mailings should contact us at our principal executive office.</w:t>
      </w:r>
    </w:p>
    <w:p>
      <w:pPr>
        <w:spacing w:after="0" w:line="200" w:lineRule="exact"/>
        <w:rPr>
          <w:sz w:val="20"/>
          <w:szCs w:val="20"/>
          <w:color w:val="auto"/>
        </w:rPr>
      </w:pPr>
    </w:p>
    <w:p>
      <w:pPr>
        <w:ind w:right="260" w:firstLine="309"/>
        <w:spacing w:after="0" w:line="262" w:lineRule="auto"/>
        <w:rPr>
          <w:sz w:val="20"/>
          <w:szCs w:val="20"/>
          <w:color w:val="auto"/>
        </w:rPr>
      </w:pPr>
      <w:r>
        <w:rPr>
          <w:rFonts w:ascii="Times New Roman" w:cs="Times New Roman" w:eastAsia="Times New Roman" w:hAnsi="Times New Roman"/>
          <w:sz w:val="17"/>
          <w:szCs w:val="17"/>
          <w:color w:val="auto"/>
        </w:rPr>
        <w:t>Additionally, if current stockholders with a shared address received multiple copies of a mailing and would prefer us to mail one copy of future mailings to stockholders at the shared address, notification of that request may also be made through our principal executive offices. Stockholders who participate in householding will continue to have access to and utilize separate proxy voting instructions.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Proposals and Nominations</w:t>
      </w:r>
    </w:p>
    <w:p>
      <w:pPr>
        <w:spacing w:after="0" w:line="243" w:lineRule="exact"/>
        <w:rPr>
          <w:sz w:val="20"/>
          <w:szCs w:val="20"/>
          <w:color w:val="auto"/>
        </w:rPr>
      </w:pPr>
    </w:p>
    <w:p>
      <w:pPr>
        <w:jc w:val="both"/>
        <w:ind w:right="40" w:firstLine="309"/>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Requirements for Stockholder Proposals to be Considered for Inclusion in our Proxy Materials. </w:t>
      </w:r>
      <w:r>
        <w:rPr>
          <w:rFonts w:ascii="Times New Roman" w:cs="Times New Roman" w:eastAsia="Times New Roman" w:hAnsi="Times New Roman"/>
          <w:sz w:val="17"/>
          <w:szCs w:val="17"/>
          <w:color w:val="auto"/>
        </w:rPr>
        <w:t>To be considered for inclusion in next year's Proxy Statement,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 proposals must be received by our Secretary at our principal executive offices no later than the close of business on December 24, 2026, which is 120 days prior to the date that is one year from April 23, 2026 (the date this year's Proxy Statement was first made available to stockholders).</w:t>
      </w:r>
    </w:p>
    <w:p>
      <w:pPr>
        <w:spacing w:after="0" w:line="200" w:lineRule="exact"/>
        <w:rPr>
          <w:sz w:val="20"/>
          <w:szCs w:val="20"/>
          <w:color w:val="auto"/>
        </w:rPr>
      </w:pPr>
    </w:p>
    <w:p>
      <w:pPr>
        <w:ind w:right="60" w:firstLine="309"/>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Requirements for Stockholder Proposals or Director Nominations to be Brought Before an Annual Meeting. </w:t>
      </w:r>
      <w:r>
        <w:rPr>
          <w:rFonts w:ascii="Times New Roman" w:cs="Times New Roman" w:eastAsia="Times New Roman" w:hAnsi="Times New Roman"/>
          <w:sz w:val="17"/>
          <w:szCs w:val="17"/>
          <w:color w:val="auto"/>
        </w:rPr>
        <w:t>Our bylaws provide that, for stockholder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nominations to the Board or other proposals to be considered at an annual meeting, the stockholder must have given timely notice thereof in writing to the Company's Secretary at 340 Seven Springs Way, Suite 600, Brentwood, Tennessee 37027. The Board does not have a written policy regarding stockholder nominations, but has determined that it is the practice of the Board to consider candidates proposed by stockholders if made in accordance with our bylaws. To be timely for the 2027 annual meeting, although not included in the Proxy Statement, the stockholder's notice must be delivered to or mailed and received by us not earlier than the close of business on the 120th day nor later than the close of business on the 90th day prior to the anniversary date of the prior year's annual meeting, except that if the annual meeting is set for a date that is not within 30 days before or after such anniversary date, we must receive the notice not later than the close of business on the tenth day following the day on which we first provide notice or public disclosure of the date of the meeting. Assuming the date of our 2027 annual meeting is not so advanced or delayed, stockholders who wish to make a proposal at the 2027 annual meeting must notify us no earlier than February 5, 2027 and no later than March 8, 2027.</w:t>
      </w:r>
    </w:p>
    <w:p>
      <w:pPr>
        <w:spacing w:after="0" w:line="197" w:lineRule="exact"/>
        <w:rPr>
          <w:sz w:val="20"/>
          <w:szCs w:val="20"/>
          <w:color w:val="auto"/>
        </w:rPr>
      </w:pPr>
    </w:p>
    <w:p>
      <w:pPr>
        <w:ind w:right="580" w:firstLine="309"/>
        <w:spacing w:after="0" w:line="271" w:lineRule="auto"/>
        <w:rPr>
          <w:sz w:val="20"/>
          <w:szCs w:val="20"/>
          <w:color w:val="auto"/>
        </w:rPr>
      </w:pPr>
      <w:r>
        <w:rPr>
          <w:rFonts w:ascii="Times New Roman" w:cs="Times New Roman" w:eastAsia="Times New Roman" w:hAnsi="Times New Roman"/>
          <w:sz w:val="17"/>
          <w:szCs w:val="17"/>
          <w:color w:val="auto"/>
        </w:rPr>
        <w:t>Such notice must provide the information required by our bylaws with respect to each matter the stockholder proposes to bring before the 2027 annual meeting.</w:t>
      </w:r>
    </w:p>
    <w:p>
      <w:pPr>
        <w:spacing w:after="0" w:line="190" w:lineRule="exact"/>
        <w:rPr>
          <w:sz w:val="20"/>
          <w:szCs w:val="20"/>
          <w:color w:val="auto"/>
        </w:rPr>
      </w:pPr>
    </w:p>
    <w:p>
      <w:pPr>
        <w:jc w:val="both"/>
        <w:ind w:right="160" w:firstLine="309"/>
        <w:spacing w:after="0" w:line="254" w:lineRule="auto"/>
        <w:rPr>
          <w:sz w:val="20"/>
          <w:szCs w:val="20"/>
          <w:color w:val="auto"/>
        </w:rPr>
      </w:pPr>
      <w:r>
        <w:rPr>
          <w:rFonts w:ascii="Times New Roman" w:cs="Times New Roman" w:eastAsia="Times New Roman" w:hAnsi="Times New Roman"/>
          <w:sz w:val="17"/>
          <w:szCs w:val="17"/>
          <w:color w:val="auto"/>
        </w:rPr>
        <w:t>In addition to satisfying the foregoing advance notice requirements under our bylaws, to comply with the universal proxy rules for the 2027 annual meeting, stockholders who intend to solicit proxies in support of director nominees other than the Company’s nominees must provide notice that sets forth the information required by Rule 14a-19 under the Securities Exchange Act of 1934.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Contacting the Board of Directors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Stockholders wishing to communicate with the Board may do so by writing to the Board or to the non-employee members of the Board as a group, at:</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Surgery Partners, Inc.</w:t>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340 Seven Springs Way, Suite 600</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Brentwood, TN 37027</w:t>
      </w:r>
    </w:p>
    <w:p>
      <w:pPr>
        <w:ind w:left="620"/>
        <w:spacing w:after="0"/>
        <w:rPr>
          <w:sz w:val="20"/>
          <w:szCs w:val="20"/>
          <w:color w:val="auto"/>
        </w:rPr>
      </w:pPr>
      <w:r>
        <w:rPr>
          <w:rFonts w:ascii="Times New Roman" w:cs="Times New Roman" w:eastAsia="Times New Roman" w:hAnsi="Times New Roman"/>
          <w:sz w:val="17"/>
          <w:szCs w:val="17"/>
          <w:color w:val="auto"/>
        </w:rPr>
        <w:t>Attention: Chief Administrative and Development Officer</w:t>
      </w:r>
    </w:p>
    <w:p>
      <w:pPr>
        <w:spacing w:after="0" w:line="212" w:lineRule="exact"/>
        <w:rPr>
          <w:sz w:val="20"/>
          <w:szCs w:val="20"/>
          <w:color w:val="auto"/>
        </w:rPr>
      </w:pPr>
    </w:p>
    <w:p>
      <w:pPr>
        <w:jc w:val="both"/>
        <w:ind w:right="160" w:firstLine="309"/>
        <w:spacing w:after="0" w:line="287" w:lineRule="auto"/>
        <w:rPr>
          <w:sz w:val="20"/>
          <w:szCs w:val="20"/>
          <w:color w:val="auto"/>
        </w:rPr>
      </w:pPr>
      <w:r>
        <w:rPr>
          <w:rFonts w:ascii="Times New Roman" w:cs="Times New Roman" w:eastAsia="Times New Roman" w:hAnsi="Times New Roman"/>
          <w:sz w:val="17"/>
          <w:szCs w:val="17"/>
          <w:color w:val="auto"/>
        </w:rPr>
        <w:t>The communication must prominently display the legend "BOARD COMMUNICATION" in order to indicate to the Chief Administrative and Development Officer that it is a communication for the Board. Upon receiving such a communication, the Chief</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7"/>
          <w:szCs w:val="17"/>
          <w:color w:val="auto"/>
        </w:rPr>
        <w:t>Administrative and Development Officer will forward the communication to the relevant individual or group to which it is addressed as appropriate depending on the facts and circumstances outlined in the communication received. Certain items that are unrelated to the Board's duties and responsibilities may be excluded, such as spam, junk mail and mass mailings, resumes and other forms of job inquiries, surveys and business solicitations or advertisements. The Chief Administrative and Development Officer will not forward any communication determined in his or her good faith belief to be frivolous, unduly hostile, threatening, illegal or similarly unsuitable.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34" w:lineRule="exact"/>
        <w:rPr>
          <w:sz w:val="20"/>
          <w:szCs w:val="20"/>
          <w:color w:val="auto"/>
        </w:rPr>
      </w:pPr>
    </w:p>
    <w:p>
      <w:pPr>
        <w:ind w:right="320" w:firstLine="309"/>
        <w:spacing w:after="0" w:line="262" w:lineRule="auto"/>
        <w:rPr>
          <w:sz w:val="20"/>
          <w:szCs w:val="20"/>
          <w:color w:val="auto"/>
        </w:rPr>
      </w:pPr>
      <w:r>
        <w:rPr>
          <w:rFonts w:ascii="Times New Roman" w:cs="Times New Roman" w:eastAsia="Times New Roman" w:hAnsi="Times New Roman"/>
          <w:sz w:val="17"/>
          <w:szCs w:val="17"/>
          <w:color w:val="auto"/>
        </w:rPr>
        <w:t>As of the date of this Proxy Statement, the Board does not intend to present any matters other than those described herein at the Annual Meeting and is unaware of any matters to be presented by other parties. If other matters are properly brought before the meeting for action by the stockholders, proxies will be voted in accordance with the recommendation of the Board or, in the absence of such a recommendation, in accordance with the judgment of the proxy holder.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Attendance at Annual Meeting</w:t>
      </w:r>
    </w:p>
    <w:p>
      <w:pPr>
        <w:spacing w:after="0" w:line="221" w:lineRule="exact"/>
        <w:rPr>
          <w:sz w:val="20"/>
          <w:szCs w:val="20"/>
          <w:color w:val="auto"/>
        </w:rPr>
      </w:pPr>
    </w:p>
    <w:p>
      <w:pPr>
        <w:ind w:firstLine="309"/>
        <w:spacing w:after="0" w:line="244" w:lineRule="auto"/>
        <w:rPr>
          <w:sz w:val="20"/>
          <w:szCs w:val="20"/>
          <w:color w:val="auto"/>
        </w:rPr>
      </w:pPr>
      <w:r>
        <w:rPr>
          <w:rFonts w:ascii="Times New Roman" w:cs="Times New Roman" w:eastAsia="Times New Roman" w:hAnsi="Times New Roman"/>
          <w:sz w:val="17"/>
          <w:szCs w:val="17"/>
          <w:color w:val="auto"/>
        </w:rPr>
        <w:t>We invite all stockholders to attend the Annual Meeting, which will be held solely by remote communication in a virtual meeting format on Friday, June 5, 2026, at 10:00 a.m. Central Daylight Time and any adjournments of the annual meeting. You can attend the meeting by visiting www.meetnow.global/MRTVYKW and entering the 15-digit control number found on the proxy card or voting instruction form. However, even if you plan to attend virtually, please vote your shares promptly to ensure they are represented at the Annual Meeting. If you decide to attend the Annual Meeting and wish to change your proxy, you may do so by voting during the meeting. If you have any questions on how to attend the Annual Meeting, please contact Investor Relations at 340 Seven Springs Way, Suite 600, Brentwood, Tennessee 37027, (615) 234-5900 or email ir@surgerypartners.com.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Electronic Access to Proxy Statement and Annual Report to Stockholders</w:t>
      </w:r>
    </w:p>
    <w:p>
      <w:pPr>
        <w:spacing w:after="0" w:line="234" w:lineRule="exact"/>
        <w:rPr>
          <w:sz w:val="20"/>
          <w:szCs w:val="20"/>
          <w:color w:val="auto"/>
        </w:rPr>
      </w:pPr>
    </w:p>
    <w:p>
      <w:pPr>
        <w:ind w:firstLine="309"/>
        <w:spacing w:after="0" w:line="250" w:lineRule="auto"/>
        <w:rPr>
          <w:sz w:val="20"/>
          <w:szCs w:val="20"/>
          <w:color w:val="auto"/>
        </w:rPr>
      </w:pPr>
      <w:r>
        <w:rPr>
          <w:rFonts w:ascii="Times New Roman" w:cs="Times New Roman" w:eastAsia="Times New Roman" w:hAnsi="Times New Roman"/>
          <w:sz w:val="17"/>
          <w:szCs w:val="17"/>
          <w:color w:val="auto"/>
        </w:rPr>
        <w:t xml:space="preserve">We have elected to provide this Proxy Statement, the proxy card and our Annual Report to Stockholders over the internet through a “notice and access” model. The Notice of Internet Availability provides instructions on how you may access these proxy materials on the internet at </w:t>
      </w:r>
      <w:r>
        <w:rPr>
          <w:rFonts w:ascii="Times New Roman" w:cs="Times New Roman" w:eastAsia="Times New Roman" w:hAnsi="Times New Roman"/>
          <w:sz w:val="17"/>
          <w:szCs w:val="17"/>
          <w:u w:val="single" w:color="auto"/>
          <w:color w:val="auto"/>
        </w:rPr>
        <w:t>www.investorvote.com/SGRY</w:t>
      </w:r>
      <w:r>
        <w:rPr>
          <w:rFonts w:ascii="Times New Roman" w:cs="Times New Roman" w:eastAsia="Times New Roman" w:hAnsi="Times New Roman"/>
          <w:sz w:val="17"/>
          <w:szCs w:val="17"/>
          <w:color w:val="auto"/>
        </w:rPr>
        <w:t xml:space="preserve"> or request a printed copy at no charge. In addition, the Notice of Internet Availability provides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825500</wp:posOffset>
            </wp:positionV>
            <wp:extent cx="7164070" cy="8313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8313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827405</wp:posOffset>
            </wp:positionH>
            <wp:positionV relativeFrom="page">
              <wp:posOffset>825500</wp:posOffset>
            </wp:positionV>
            <wp:extent cx="5894070" cy="7621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894070" cy="76212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o"/>
      <w:numFmt w:val="bullet"/>
      <w:start w:val="1"/>
    </w:lvl>
  </w:abstractNum>
  <w:abstractNum w:abstractNumId="1">
    <w:nsid w:val="721DA317"/>
    <w:multiLevelType w:val="hybridMultilevel"/>
    <w:lvl w:ilvl="0">
      <w:lvlJc w:val="left"/>
      <w:lvlText w:val="x"/>
      <w:numFmt w:val="bullet"/>
      <w:start w:val="1"/>
    </w:lvl>
  </w:abstractNum>
  <w:abstractNum w:abstractNumId="2">
    <w:nsid w:val="2443A858"/>
    <w:multiLevelType w:val="hybridMultilevel"/>
    <w:lvl w:ilvl="0">
      <w:lvlJc w:val="left"/>
      <w:lvlText w:val="o"/>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4"/>
    </w:lvl>
  </w:abstractNum>
  <w:abstractNum w:abstractNumId="8">
    <w:nsid w:val="4353D0CD"/>
    <w:multiLevelType w:val="hybridMultilevel"/>
    <w:lvl w:ilvl="0">
      <w:lvlJc w:val="left"/>
      <w:lvlText w:val="(%1)"/>
      <w:numFmt w:val="lowerRoman"/>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lvl w:ilvl="1">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5"/>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6"/>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2"/>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2"/>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3"/>
    </w:lvl>
  </w:abstractNum>
  <w:abstractNum w:abstractNumId="34">
    <w:nsid w:val="2463B9EA"/>
    <w:multiLevelType w:val="hybridMultilevel"/>
    <w:lvl w:ilvl="0">
      <w:lvlJc w:val="left"/>
      <w:lvlText w:val="(%1)"/>
      <w:numFmt w:val="decimal"/>
      <w:start w:val="4"/>
    </w:lvl>
  </w:abstractNum>
  <w:abstractNum w:abstractNumId="35">
    <w:nsid w:val="5E884ADC"/>
    <w:multiLevelType w:val="hybridMultilevel"/>
    <w:lvl w:ilvl="0">
      <w:lvlJc w:val="left"/>
      <w:lvlText w:val="(%1)"/>
      <w:numFmt w:val="decimal"/>
      <w:start w:val="5"/>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2026-04-23T15:36:25Z</dcterms:created>
  <dcterms:modified xsi:type="dcterms:W3CDTF">2026-04-23T15:36:25Z</dcterms:modified>
</cp:coreProperties>
</file>