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drawing>
          <wp:anchor simplePos="0" relativeHeight="251657728" behindDoc="1" locked="0" layoutInCell="0" allowOverlap="1">
            <wp:simplePos x="0" y="0"/>
            <wp:positionH relativeFrom="page">
              <wp:posOffset>205105</wp:posOffset>
            </wp:positionH>
            <wp:positionV relativeFrom="page">
              <wp:posOffset>596265</wp:posOffset>
            </wp:positionV>
            <wp:extent cx="7138670" cy="16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8670" cy="16510"/>
                    </a:xfrm>
                    <a:prstGeom prst="rect">
                      <a:avLst/>
                    </a:prstGeom>
                    <a:noFill/>
                  </pic:spPr>
                </pic:pic>
              </a:graphicData>
            </a:graphic>
          </wp:anchor>
        </w:drawing>
        <w:drawing>
          <wp:anchor simplePos="0" relativeHeight="251657728" behindDoc="1" locked="0" layoutInCell="0" allowOverlap="1">
            <wp:simplePos x="0" y="0"/>
            <wp:positionH relativeFrom="page">
              <wp:posOffset>205105</wp:posOffset>
            </wp:positionH>
            <wp:positionV relativeFrom="page">
              <wp:posOffset>563880</wp:posOffset>
            </wp:positionV>
            <wp:extent cx="7138670" cy="16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8670" cy="16510"/>
                    </a:xfrm>
                    <a:prstGeom prst="rect">
                      <a:avLst/>
                    </a:prstGeom>
                    <a:noFill/>
                  </pic:spPr>
                </pic:pic>
              </a:graphicData>
            </a:graphic>
          </wp:anchor>
        </w:drawing>
        <w:t>UNITED STATES</w:t>
      </w:r>
    </w:p>
    <w:p>
      <w:pPr>
        <w:spacing w:after="0" w:line="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3" w:lineRule="exact"/>
        <w:rPr>
          <w:sz w:val="24"/>
          <w:szCs w:val="24"/>
          <w:color w:val="auto"/>
        </w:rPr>
      </w:pPr>
    </w:p>
    <w:p>
      <w:pPr>
        <w:ind w:left="2880"/>
        <w:spacing w:after="0"/>
        <w:rPr>
          <w:sz w:val="20"/>
          <w:szCs w:val="20"/>
          <w:color w:val="auto"/>
        </w:rPr>
      </w:pPr>
      <w:r>
        <w:rPr>
          <w:rFonts w:ascii="Times New Roman" w:cs="Times New Roman" w:eastAsia="Times New Roman" w:hAnsi="Times New Roman"/>
          <w:sz w:val="17"/>
          <w:szCs w:val="17"/>
          <w:b w:val="1"/>
          <w:bCs w:val="1"/>
          <w:color w:val="auto"/>
        </w:rPr>
        <w:t>________________________________________________________________</w:t>
      </w:r>
    </w:p>
    <w:p>
      <w:pPr>
        <w:spacing w:after="0" w:line="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Form 10-K</w:t>
      </w:r>
    </w:p>
    <w:p>
      <w:pPr>
        <w:spacing w:after="0" w:line="159" w:lineRule="exact"/>
        <w:rPr>
          <w:sz w:val="24"/>
          <w:szCs w:val="24"/>
          <w:color w:val="auto"/>
        </w:rPr>
      </w:pPr>
    </w:p>
    <w:p>
      <w:pPr>
        <w:ind w:left="260" w:hanging="257"/>
        <w:spacing w:after="0"/>
        <w:tabs>
          <w:tab w:leader="none" w:pos="260" w:val="left"/>
        </w:tabs>
        <w:numPr>
          <w:ilvl w:val="0"/>
          <w:numId w:val="1"/>
        </w:numPr>
        <w:rPr>
          <w:rFonts w:ascii="MS PGothic" w:cs="MS PGothic" w:eastAsia="MS PGothic" w:hAnsi="MS PGothic"/>
          <w:sz w:val="14"/>
          <w:szCs w:val="14"/>
          <w:color w:val="auto"/>
          <w:highlight w:val="black"/>
        </w:rPr>
      </w:pPr>
      <w:r>
        <w:rPr>
          <w:rFonts w:ascii="Times New Roman" w:cs="Times New Roman" w:eastAsia="Times New Roman" w:hAnsi="Times New Roman"/>
          <w:sz w:val="15"/>
          <w:szCs w:val="15"/>
          <w:b w:val="1"/>
          <w:bCs w:val="1"/>
          <w:color w:val="auto"/>
        </w:rPr>
        <w:t>Annual report pursuant to Section 13 or 15(d) of the Securities Exchange Act of 1934 for the fiscal year ended December 31, 2025</w:t>
      </w:r>
    </w:p>
    <w:p>
      <w:pPr>
        <w:spacing w:after="0" w:line="51" w:lineRule="exact"/>
        <w:rPr>
          <w:rFonts w:ascii="MS PGothic" w:cs="MS PGothic" w:eastAsia="MS PGothic" w:hAnsi="MS PGothic"/>
          <w:sz w:val="14"/>
          <w:szCs w:val="14"/>
          <w:color w:val="auto"/>
          <w:highlight w:val="black"/>
        </w:rPr>
      </w:pPr>
    </w:p>
    <w:p>
      <w:pPr>
        <w:ind w:left="5520"/>
        <w:spacing w:after="0"/>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OR</w:t>
      </w:r>
    </w:p>
    <w:p>
      <w:pPr>
        <w:spacing w:after="0" w:line="67" w:lineRule="exact"/>
        <w:rPr>
          <w:sz w:val="24"/>
          <w:szCs w:val="24"/>
          <w:color w:val="auto"/>
        </w:rPr>
      </w:pPr>
    </w:p>
    <w:p>
      <w:pPr>
        <w:ind w:left="280" w:hanging="277"/>
        <w:spacing w:after="0"/>
        <w:tabs>
          <w:tab w:leader="none" w:pos="28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5"/>
          <w:szCs w:val="15"/>
          <w:b w:val="1"/>
          <w:bCs w:val="1"/>
          <w:color w:val="auto"/>
        </w:rPr>
        <w:t>Transition report pursuant to Section 13 or 15(d) of the Securities Exchange Act of 1934</w:t>
      </w:r>
    </w:p>
    <w:p>
      <w:pPr>
        <w:spacing w:after="0" w:line="287"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2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700" w:type="dxa"/>
            <w:vAlign w:val="bottom"/>
            <w:gridSpan w:val="4"/>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Commission file number: 001-37576</w:t>
            </w:r>
          </w:p>
        </w:tc>
        <w:tc>
          <w:tcPr>
            <w:tcW w:w="3300" w:type="dxa"/>
            <w:vAlign w:val="bottom"/>
          </w:tcPr>
          <w:p>
            <w:pPr>
              <w:spacing w:after="0"/>
              <w:rPr>
                <w:sz w:val="13"/>
                <w:szCs w:val="13"/>
                <w:color w:val="auto"/>
              </w:rPr>
            </w:pPr>
          </w:p>
        </w:tc>
      </w:tr>
      <w:tr>
        <w:trPr>
          <w:trHeight w:val="318"/>
        </w:trPr>
        <w:tc>
          <w:tcPr>
            <w:tcW w:w="3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700" w:type="dxa"/>
            <w:vAlign w:val="bottom"/>
            <w:gridSpan w:val="4"/>
          </w:tcPr>
          <w:p>
            <w:pPr>
              <w:jc w:val="center"/>
              <w:ind w:right="320"/>
              <w:spacing w:after="0"/>
              <w:rPr>
                <w:sz w:val="20"/>
                <w:szCs w:val="20"/>
                <w:color w:val="auto"/>
              </w:rPr>
            </w:pPr>
            <w:r>
              <w:rPr>
                <w:rFonts w:ascii="Times New Roman" w:cs="Times New Roman" w:eastAsia="Times New Roman" w:hAnsi="Times New Roman"/>
                <w:sz w:val="24"/>
                <w:szCs w:val="24"/>
                <w:b w:val="1"/>
                <w:bCs w:val="1"/>
                <w:color w:val="auto"/>
              </w:rPr>
              <w:t>Surgery Partners, Inc.</w:t>
            </w:r>
          </w:p>
        </w:tc>
        <w:tc>
          <w:tcPr>
            <w:tcW w:w="3300" w:type="dxa"/>
            <w:vAlign w:val="bottom"/>
          </w:tcPr>
          <w:p>
            <w:pPr>
              <w:spacing w:after="0"/>
              <w:rPr>
                <w:sz w:val="24"/>
                <w:szCs w:val="24"/>
                <w:color w:val="auto"/>
              </w:rPr>
            </w:pPr>
          </w:p>
        </w:tc>
      </w:tr>
      <w:tr>
        <w:trPr>
          <w:trHeight w:val="318"/>
        </w:trPr>
        <w:tc>
          <w:tcPr>
            <w:tcW w:w="3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700" w:type="dxa"/>
            <w:vAlign w:val="bottom"/>
            <w:gridSpan w:val="4"/>
          </w:tcPr>
          <w:p>
            <w:pPr>
              <w:jc w:val="center"/>
              <w:ind w:right="340"/>
              <w:spacing w:after="0"/>
              <w:rPr>
                <w:sz w:val="20"/>
                <w:szCs w:val="20"/>
                <w:color w:val="auto"/>
              </w:rPr>
            </w:pPr>
            <w:r>
              <w:rPr>
                <w:rFonts w:ascii="Times New Roman" w:cs="Times New Roman" w:eastAsia="Times New Roman" w:hAnsi="Times New Roman"/>
                <w:sz w:val="14"/>
                <w:szCs w:val="14"/>
                <w:color w:val="auto"/>
                <w:w w:val="98"/>
              </w:rPr>
              <w:t>(Exact name of registrant as specified in its charter)</w:t>
            </w:r>
          </w:p>
        </w:tc>
        <w:tc>
          <w:tcPr>
            <w:tcW w:w="3300" w:type="dxa"/>
            <w:vAlign w:val="bottom"/>
          </w:tcPr>
          <w:p>
            <w:pPr>
              <w:spacing w:after="0"/>
              <w:rPr>
                <w:sz w:val="24"/>
                <w:szCs w:val="24"/>
                <w:color w:val="auto"/>
              </w:rPr>
            </w:pPr>
          </w:p>
        </w:tc>
      </w:tr>
      <w:tr>
        <w:trPr>
          <w:trHeight w:val="284"/>
        </w:trPr>
        <w:tc>
          <w:tcPr>
            <w:tcW w:w="320" w:type="dxa"/>
            <w:vAlign w:val="bottom"/>
          </w:tcPr>
          <w:p>
            <w:pPr>
              <w:spacing w:after="0"/>
              <w:rPr>
                <w:sz w:val="24"/>
                <w:szCs w:val="24"/>
                <w:color w:val="auto"/>
              </w:rPr>
            </w:pPr>
          </w:p>
        </w:tc>
        <w:tc>
          <w:tcPr>
            <w:tcW w:w="3280" w:type="dxa"/>
            <w:vAlign w:val="bottom"/>
          </w:tcPr>
          <w:p>
            <w:pPr>
              <w:jc w:val="center"/>
              <w:ind w:left="1151"/>
              <w:spacing w:after="0"/>
              <w:rPr>
                <w:sz w:val="20"/>
                <w:szCs w:val="20"/>
                <w:color w:val="auto"/>
              </w:rPr>
            </w:pPr>
            <w:r>
              <w:rPr>
                <w:rFonts w:ascii="Times New Roman" w:cs="Times New Roman" w:eastAsia="Times New Roman" w:hAnsi="Times New Roman"/>
                <w:sz w:val="14"/>
                <w:szCs w:val="14"/>
                <w:b w:val="1"/>
                <w:bCs w:val="1"/>
                <w:color w:val="auto"/>
                <w:w w:val="95"/>
              </w:rPr>
              <w:t>Delaware</w:t>
            </w: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300" w:type="dxa"/>
            <w:vAlign w:val="bottom"/>
          </w:tcPr>
          <w:p>
            <w:pPr>
              <w:jc w:val="center"/>
              <w:ind w:right="1151"/>
              <w:spacing w:after="0"/>
              <w:rPr>
                <w:sz w:val="20"/>
                <w:szCs w:val="20"/>
                <w:color w:val="auto"/>
              </w:rPr>
            </w:pPr>
            <w:r>
              <w:rPr>
                <w:rFonts w:ascii="Times New Roman" w:cs="Times New Roman" w:eastAsia="Times New Roman" w:hAnsi="Times New Roman"/>
                <w:sz w:val="14"/>
                <w:szCs w:val="14"/>
                <w:b w:val="1"/>
                <w:bCs w:val="1"/>
                <w:color w:val="auto"/>
              </w:rPr>
              <w:t>47-3620923</w:t>
            </w:r>
          </w:p>
        </w:tc>
      </w:tr>
      <w:tr>
        <w:trPr>
          <w:trHeight w:val="157"/>
        </w:trPr>
        <w:tc>
          <w:tcPr>
            <w:tcW w:w="320" w:type="dxa"/>
            <w:vAlign w:val="bottom"/>
          </w:tcPr>
          <w:p>
            <w:pPr>
              <w:spacing w:after="0"/>
              <w:rPr>
                <w:sz w:val="13"/>
                <w:szCs w:val="13"/>
                <w:color w:val="auto"/>
              </w:rPr>
            </w:pPr>
          </w:p>
        </w:tc>
        <w:tc>
          <w:tcPr>
            <w:tcW w:w="3280" w:type="dxa"/>
            <w:vAlign w:val="bottom"/>
          </w:tcPr>
          <w:p>
            <w:pPr>
              <w:jc w:val="center"/>
              <w:ind w:left="1151"/>
              <w:spacing w:after="0" w:line="157" w:lineRule="exact"/>
              <w:rPr>
                <w:sz w:val="20"/>
                <w:szCs w:val="20"/>
                <w:color w:val="auto"/>
              </w:rPr>
            </w:pPr>
            <w:r>
              <w:rPr>
                <w:rFonts w:ascii="Times New Roman" w:cs="Times New Roman" w:eastAsia="Times New Roman" w:hAnsi="Times New Roman"/>
                <w:sz w:val="14"/>
                <w:szCs w:val="14"/>
                <w:color w:val="auto"/>
                <w:w w:val="97"/>
              </w:rPr>
              <w:t>(State or other jurisdiction of</w:t>
            </w: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300" w:type="dxa"/>
            <w:vAlign w:val="bottom"/>
          </w:tcPr>
          <w:p>
            <w:pPr>
              <w:jc w:val="center"/>
              <w:ind w:right="1151"/>
              <w:spacing w:after="0" w:line="157" w:lineRule="exact"/>
              <w:rPr>
                <w:sz w:val="20"/>
                <w:szCs w:val="20"/>
                <w:color w:val="auto"/>
              </w:rPr>
            </w:pPr>
            <w:r>
              <w:rPr>
                <w:rFonts w:ascii="Times New Roman" w:cs="Times New Roman" w:eastAsia="Times New Roman" w:hAnsi="Times New Roman"/>
                <w:sz w:val="14"/>
                <w:szCs w:val="14"/>
                <w:color w:val="auto"/>
                <w:w w:val="96"/>
              </w:rPr>
              <w:t>(I.R.S. Employer</w:t>
            </w:r>
          </w:p>
        </w:tc>
      </w:tr>
      <w:tr>
        <w:trPr>
          <w:trHeight w:val="178"/>
        </w:trPr>
        <w:tc>
          <w:tcPr>
            <w:tcW w:w="320" w:type="dxa"/>
            <w:vAlign w:val="bottom"/>
          </w:tcPr>
          <w:p>
            <w:pPr>
              <w:spacing w:after="0"/>
              <w:rPr>
                <w:sz w:val="15"/>
                <w:szCs w:val="15"/>
                <w:color w:val="auto"/>
              </w:rPr>
            </w:pPr>
          </w:p>
        </w:tc>
        <w:tc>
          <w:tcPr>
            <w:tcW w:w="3280" w:type="dxa"/>
            <w:vAlign w:val="bottom"/>
          </w:tcPr>
          <w:p>
            <w:pPr>
              <w:jc w:val="center"/>
              <w:ind w:left="1151"/>
              <w:spacing w:after="0"/>
              <w:rPr>
                <w:sz w:val="20"/>
                <w:szCs w:val="20"/>
                <w:color w:val="auto"/>
              </w:rPr>
            </w:pPr>
            <w:r>
              <w:rPr>
                <w:rFonts w:ascii="Times New Roman" w:cs="Times New Roman" w:eastAsia="Times New Roman" w:hAnsi="Times New Roman"/>
                <w:sz w:val="14"/>
                <w:szCs w:val="14"/>
                <w:color w:val="auto"/>
                <w:w w:val="98"/>
              </w:rPr>
              <w:t>incorporation or organization)</w:t>
            </w: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300" w:type="dxa"/>
            <w:vAlign w:val="bottom"/>
          </w:tcPr>
          <w:p>
            <w:pPr>
              <w:jc w:val="center"/>
              <w:ind w:right="1151"/>
              <w:spacing w:after="0"/>
              <w:rPr>
                <w:sz w:val="20"/>
                <w:szCs w:val="20"/>
                <w:color w:val="auto"/>
              </w:rPr>
            </w:pPr>
            <w:r>
              <w:rPr>
                <w:rFonts w:ascii="Times New Roman" w:cs="Times New Roman" w:eastAsia="Times New Roman" w:hAnsi="Times New Roman"/>
                <w:sz w:val="14"/>
                <w:szCs w:val="14"/>
                <w:color w:val="auto"/>
                <w:w w:val="99"/>
              </w:rPr>
              <w:t>Identification No.)</w:t>
            </w:r>
          </w:p>
        </w:tc>
      </w:tr>
      <w:tr>
        <w:trPr>
          <w:trHeight w:val="243"/>
        </w:trPr>
        <w:tc>
          <w:tcPr>
            <w:tcW w:w="320" w:type="dxa"/>
            <w:vAlign w:val="bottom"/>
          </w:tcPr>
          <w:p>
            <w:pPr>
              <w:spacing w:after="0"/>
              <w:rPr>
                <w:sz w:val="21"/>
                <w:szCs w:val="21"/>
                <w:color w:val="auto"/>
              </w:rPr>
            </w:pPr>
          </w:p>
        </w:tc>
        <w:tc>
          <w:tcPr>
            <w:tcW w:w="3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700" w:type="dxa"/>
            <w:vAlign w:val="bottom"/>
            <w:gridSpan w:val="4"/>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6"/>
              </w:rPr>
              <w:t>340 Seven Springs Way, Suite 600</w:t>
            </w:r>
          </w:p>
        </w:tc>
        <w:tc>
          <w:tcPr>
            <w:tcW w:w="3300" w:type="dxa"/>
            <w:vAlign w:val="bottom"/>
          </w:tcPr>
          <w:p>
            <w:pPr>
              <w:spacing w:after="0"/>
              <w:rPr>
                <w:sz w:val="21"/>
                <w:szCs w:val="21"/>
                <w:color w:val="auto"/>
              </w:rPr>
            </w:pPr>
          </w:p>
        </w:tc>
      </w:tr>
      <w:tr>
        <w:trPr>
          <w:trHeight w:val="172"/>
        </w:trPr>
        <w:tc>
          <w:tcPr>
            <w:tcW w:w="32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960" w:type="dxa"/>
            <w:vAlign w:val="bottom"/>
            <w:gridSpan w:val="3"/>
          </w:tcPr>
          <w:p>
            <w:pPr>
              <w:jc w:val="center"/>
              <w:ind w:right="1080"/>
              <w:spacing w:after="0"/>
              <w:rPr>
                <w:sz w:val="20"/>
                <w:szCs w:val="20"/>
                <w:color w:val="auto"/>
              </w:rPr>
            </w:pPr>
            <w:r>
              <w:rPr>
                <w:rFonts w:ascii="Times New Roman" w:cs="Times New Roman" w:eastAsia="Times New Roman" w:hAnsi="Times New Roman"/>
                <w:sz w:val="14"/>
                <w:szCs w:val="14"/>
                <w:b w:val="1"/>
                <w:bCs w:val="1"/>
                <w:color w:val="auto"/>
                <w:w w:val="97"/>
              </w:rPr>
              <w:t>Brentwood, Tennessee 37027</w:t>
            </w:r>
          </w:p>
        </w:tc>
        <w:tc>
          <w:tcPr>
            <w:tcW w:w="3300" w:type="dxa"/>
            <w:vAlign w:val="bottom"/>
          </w:tcPr>
          <w:p>
            <w:pPr>
              <w:spacing w:after="0"/>
              <w:rPr>
                <w:sz w:val="14"/>
                <w:szCs w:val="14"/>
                <w:color w:val="auto"/>
              </w:rPr>
            </w:pPr>
          </w:p>
        </w:tc>
      </w:tr>
      <w:tr>
        <w:trPr>
          <w:trHeight w:val="178"/>
        </w:trPr>
        <w:tc>
          <w:tcPr>
            <w:tcW w:w="32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700" w:type="dxa"/>
            <w:vAlign w:val="bottom"/>
            <w:gridSpan w:val="4"/>
          </w:tcPr>
          <w:p>
            <w:pPr>
              <w:jc w:val="center"/>
              <w:ind w:right="320"/>
              <w:spacing w:after="0"/>
              <w:rPr>
                <w:sz w:val="20"/>
                <w:szCs w:val="20"/>
                <w:color w:val="auto"/>
              </w:rPr>
            </w:pPr>
            <w:r>
              <w:rPr>
                <w:rFonts w:ascii="Times New Roman" w:cs="Times New Roman" w:eastAsia="Times New Roman" w:hAnsi="Times New Roman"/>
                <w:sz w:val="14"/>
                <w:szCs w:val="14"/>
                <w:color w:val="auto"/>
                <w:w w:val="97"/>
              </w:rPr>
              <w:t>(Address of principal executive offices and zip code)</w:t>
            </w:r>
          </w:p>
        </w:tc>
        <w:tc>
          <w:tcPr>
            <w:tcW w:w="3300" w:type="dxa"/>
            <w:vAlign w:val="bottom"/>
          </w:tcPr>
          <w:p>
            <w:pPr>
              <w:spacing w:after="0"/>
              <w:rPr>
                <w:sz w:val="15"/>
                <w:szCs w:val="15"/>
                <w:color w:val="auto"/>
              </w:rPr>
            </w:pPr>
          </w:p>
        </w:tc>
      </w:tr>
      <w:tr>
        <w:trPr>
          <w:trHeight w:val="195"/>
        </w:trPr>
        <w:tc>
          <w:tcPr>
            <w:tcW w:w="32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2960" w:type="dxa"/>
            <w:vAlign w:val="bottom"/>
            <w:gridSpan w:val="3"/>
          </w:tcPr>
          <w:p>
            <w:pPr>
              <w:jc w:val="center"/>
              <w:ind w:left="1031"/>
              <w:spacing w:after="0"/>
              <w:rPr>
                <w:sz w:val="20"/>
                <w:szCs w:val="20"/>
                <w:color w:val="auto"/>
              </w:rPr>
            </w:pPr>
            <w:r>
              <w:rPr>
                <w:rFonts w:ascii="Times New Roman" w:cs="Times New Roman" w:eastAsia="Times New Roman" w:hAnsi="Times New Roman"/>
                <w:sz w:val="14"/>
                <w:szCs w:val="14"/>
                <w:b w:val="1"/>
                <w:bCs w:val="1"/>
                <w:color w:val="auto"/>
                <w:w w:val="98"/>
              </w:rPr>
              <w:t>(615) 234-5900</w:t>
            </w:r>
          </w:p>
        </w:tc>
        <w:tc>
          <w:tcPr>
            <w:tcW w:w="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300" w:type="dxa"/>
            <w:vAlign w:val="bottom"/>
          </w:tcPr>
          <w:p>
            <w:pPr>
              <w:spacing w:after="0"/>
              <w:rPr>
                <w:sz w:val="16"/>
                <w:szCs w:val="16"/>
                <w:color w:val="auto"/>
              </w:rPr>
            </w:pPr>
          </w:p>
        </w:tc>
      </w:tr>
      <w:tr>
        <w:trPr>
          <w:trHeight w:val="178"/>
        </w:trPr>
        <w:tc>
          <w:tcPr>
            <w:tcW w:w="32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700" w:type="dxa"/>
            <w:vAlign w:val="bottom"/>
            <w:gridSpan w:val="4"/>
          </w:tcPr>
          <w:p>
            <w:pPr>
              <w:jc w:val="center"/>
              <w:ind w:right="360"/>
              <w:spacing w:after="0"/>
              <w:rPr>
                <w:sz w:val="20"/>
                <w:szCs w:val="20"/>
                <w:color w:val="auto"/>
              </w:rPr>
            </w:pPr>
            <w:r>
              <w:rPr>
                <w:rFonts w:ascii="Times New Roman" w:cs="Times New Roman" w:eastAsia="Times New Roman" w:hAnsi="Times New Roman"/>
                <w:sz w:val="14"/>
                <w:szCs w:val="14"/>
                <w:color w:val="auto"/>
                <w:w w:val="97"/>
              </w:rPr>
              <w:t>(Registrant’s telephone number, including area code)</w:t>
            </w:r>
          </w:p>
        </w:tc>
        <w:tc>
          <w:tcPr>
            <w:tcW w:w="3300" w:type="dxa"/>
            <w:vAlign w:val="bottom"/>
          </w:tcPr>
          <w:p>
            <w:pPr>
              <w:spacing w:after="0"/>
              <w:rPr>
                <w:sz w:val="15"/>
                <w:szCs w:val="15"/>
                <w:color w:val="auto"/>
              </w:rPr>
            </w:pPr>
          </w:p>
        </w:tc>
      </w:tr>
      <w:tr>
        <w:trPr>
          <w:trHeight w:val="271"/>
        </w:trPr>
        <w:tc>
          <w:tcPr>
            <w:tcW w:w="3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3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300" w:type="dxa"/>
            <w:vAlign w:val="bottom"/>
          </w:tcPr>
          <w:p>
            <w:pPr>
              <w:spacing w:after="0"/>
              <w:rPr>
                <w:sz w:val="23"/>
                <w:szCs w:val="23"/>
                <w:color w:val="auto"/>
              </w:rPr>
            </w:pPr>
          </w:p>
        </w:tc>
      </w:tr>
      <w:tr>
        <w:trPr>
          <w:trHeight w:val="309"/>
        </w:trPr>
        <w:tc>
          <w:tcPr>
            <w:tcW w:w="320" w:type="dxa"/>
            <w:vAlign w:val="bottom"/>
          </w:tcPr>
          <w:p>
            <w:pPr>
              <w:spacing w:after="0"/>
              <w:rPr>
                <w:sz w:val="24"/>
                <w:szCs w:val="24"/>
                <w:color w:val="auto"/>
              </w:rPr>
            </w:pPr>
          </w:p>
        </w:tc>
        <w:tc>
          <w:tcPr>
            <w:tcW w:w="3280" w:type="dxa"/>
            <w:vAlign w:val="bottom"/>
          </w:tcPr>
          <w:p>
            <w:pPr>
              <w:jc w:val="center"/>
              <w:ind w:left="271"/>
              <w:spacing w:after="0"/>
              <w:rPr>
                <w:sz w:val="20"/>
                <w:szCs w:val="20"/>
                <w:color w:val="auto"/>
              </w:rPr>
            </w:pPr>
            <w:r>
              <w:rPr>
                <w:rFonts w:ascii="Times New Roman" w:cs="Times New Roman" w:eastAsia="Times New Roman" w:hAnsi="Times New Roman"/>
                <w:sz w:val="14"/>
                <w:szCs w:val="14"/>
                <w:b w:val="1"/>
                <w:bCs w:val="1"/>
                <w:color w:val="auto"/>
                <w:w w:val="96"/>
              </w:rPr>
              <w:t>Title of each class</w:t>
            </w: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960" w:type="dxa"/>
            <w:vAlign w:val="bottom"/>
            <w:gridSpan w:val="3"/>
          </w:tcPr>
          <w:p>
            <w:pPr>
              <w:jc w:val="center"/>
              <w:ind w:right="1080"/>
              <w:spacing w:after="0"/>
              <w:rPr>
                <w:sz w:val="20"/>
                <w:szCs w:val="20"/>
                <w:color w:val="auto"/>
              </w:rPr>
            </w:pPr>
            <w:r>
              <w:rPr>
                <w:rFonts w:ascii="Times New Roman" w:cs="Times New Roman" w:eastAsia="Times New Roman" w:hAnsi="Times New Roman"/>
                <w:sz w:val="14"/>
                <w:szCs w:val="14"/>
                <w:b w:val="1"/>
                <w:bCs w:val="1"/>
                <w:color w:val="auto"/>
                <w:w w:val="96"/>
              </w:rPr>
              <w:t>Trading Symbol(s)</w:t>
            </w:r>
          </w:p>
        </w:tc>
        <w:tc>
          <w:tcPr>
            <w:tcW w:w="3300" w:type="dxa"/>
            <w:vAlign w:val="bottom"/>
          </w:tcPr>
          <w:p>
            <w:pPr>
              <w:jc w:val="center"/>
              <w:ind w:right="291"/>
              <w:spacing w:after="0"/>
              <w:rPr>
                <w:sz w:val="20"/>
                <w:szCs w:val="20"/>
                <w:color w:val="auto"/>
              </w:rPr>
            </w:pPr>
            <w:r>
              <w:rPr>
                <w:rFonts w:ascii="Times New Roman" w:cs="Times New Roman" w:eastAsia="Times New Roman" w:hAnsi="Times New Roman"/>
                <w:sz w:val="14"/>
                <w:szCs w:val="14"/>
                <w:b w:val="1"/>
                <w:bCs w:val="1"/>
                <w:color w:val="auto"/>
                <w:w w:val="97"/>
              </w:rPr>
              <w:t>Name of each exchange on which registered</w:t>
            </w:r>
          </w:p>
        </w:tc>
      </w:tr>
      <w:tr>
        <w:trPr>
          <w:trHeight w:val="22"/>
        </w:trPr>
        <w:tc>
          <w:tcPr>
            <w:tcW w:w="3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r>
      <w:tr>
        <w:trPr>
          <w:trHeight w:val="171"/>
        </w:trPr>
        <w:tc>
          <w:tcPr>
            <w:tcW w:w="320" w:type="dxa"/>
            <w:vAlign w:val="bottom"/>
          </w:tcPr>
          <w:p>
            <w:pPr>
              <w:spacing w:after="0"/>
              <w:rPr>
                <w:sz w:val="14"/>
                <w:szCs w:val="14"/>
                <w:color w:val="auto"/>
              </w:rPr>
            </w:pPr>
          </w:p>
        </w:tc>
        <w:tc>
          <w:tcPr>
            <w:tcW w:w="3280" w:type="dxa"/>
            <w:vAlign w:val="bottom"/>
            <w:tcBorders>
              <w:top w:val="single" w:sz="8" w:color="auto"/>
            </w:tcBorders>
          </w:tcPr>
          <w:p>
            <w:pPr>
              <w:jc w:val="center"/>
              <w:ind w:left="271"/>
              <w:spacing w:after="0"/>
              <w:rPr>
                <w:sz w:val="20"/>
                <w:szCs w:val="20"/>
                <w:color w:val="auto"/>
              </w:rPr>
            </w:pPr>
            <w:r>
              <w:rPr>
                <w:rFonts w:ascii="Times New Roman" w:cs="Times New Roman" w:eastAsia="Times New Roman" w:hAnsi="Times New Roman"/>
                <w:sz w:val="14"/>
                <w:szCs w:val="14"/>
                <w:color w:val="auto"/>
                <w:w w:val="97"/>
              </w:rPr>
              <w:t>Common Stock, par value $0.01 per share</w:t>
            </w:r>
          </w:p>
        </w:tc>
        <w:tc>
          <w:tcPr>
            <w:tcW w:w="340" w:type="dxa"/>
            <w:vAlign w:val="bottom"/>
            <w:tcBorders>
              <w:top w:val="single" w:sz="8" w:color="auto"/>
            </w:tcBorders>
          </w:tcPr>
          <w:p>
            <w:pPr>
              <w:spacing w:after="0"/>
              <w:rPr>
                <w:sz w:val="14"/>
                <w:szCs w:val="14"/>
                <w:color w:val="auto"/>
              </w:rPr>
            </w:pPr>
          </w:p>
        </w:tc>
        <w:tc>
          <w:tcPr>
            <w:tcW w:w="740" w:type="dxa"/>
            <w:vAlign w:val="bottom"/>
          </w:tcPr>
          <w:p>
            <w:pPr>
              <w:spacing w:after="0"/>
              <w:rPr>
                <w:sz w:val="14"/>
                <w:szCs w:val="14"/>
                <w:color w:val="auto"/>
              </w:rPr>
            </w:pPr>
          </w:p>
        </w:tc>
        <w:tc>
          <w:tcPr>
            <w:tcW w:w="18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SGRY</w:t>
            </w:r>
          </w:p>
        </w:tc>
        <w:tc>
          <w:tcPr>
            <w:tcW w:w="74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3300" w:type="dxa"/>
            <w:vAlign w:val="bottom"/>
            <w:tcBorders>
              <w:top w:val="single" w:sz="8" w:color="auto"/>
            </w:tcBorders>
          </w:tcPr>
          <w:p>
            <w:pPr>
              <w:jc w:val="center"/>
              <w:ind w:right="291"/>
              <w:spacing w:after="0"/>
              <w:rPr>
                <w:sz w:val="20"/>
                <w:szCs w:val="20"/>
                <w:color w:val="auto"/>
              </w:rPr>
            </w:pPr>
            <w:r>
              <w:rPr>
                <w:rFonts w:ascii="Times New Roman" w:cs="Times New Roman" w:eastAsia="Times New Roman" w:hAnsi="Times New Roman"/>
                <w:sz w:val="14"/>
                <w:szCs w:val="14"/>
                <w:color w:val="auto"/>
                <w:w w:val="97"/>
              </w:rPr>
              <w:t>The Nasdaq Global Select Market</w:t>
            </w:r>
          </w:p>
        </w:tc>
      </w:tr>
      <w:tr>
        <w:trPr>
          <w:trHeight w:val="353"/>
        </w:trPr>
        <w:tc>
          <w:tcPr>
            <w:tcW w:w="3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404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Securities registered pursuant to section 12(g) of the Act: None</w:t>
            </w:r>
          </w:p>
        </w:tc>
        <w:tc>
          <w:tcPr>
            <w:tcW w:w="330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128905</wp:posOffset>
            </wp:positionV>
            <wp:extent cx="7138670" cy="165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247" w:lineRule="exact"/>
        <w:rPr>
          <w:sz w:val="24"/>
          <w:szCs w:val="24"/>
          <w:color w:val="auto"/>
        </w:rPr>
      </w:pPr>
    </w:p>
    <w:p>
      <w:pPr>
        <w:ind w:right="3780"/>
        <w:spacing w:after="0" w:line="250" w:lineRule="exact"/>
        <w:rPr>
          <w:sz w:val="20"/>
          <w:szCs w:val="20"/>
          <w:color w:val="auto"/>
        </w:rPr>
      </w:pPr>
      <w:r>
        <w:rPr>
          <w:rFonts w:ascii="Times New Roman" w:cs="Times New Roman" w:eastAsia="Times New Roman" w:hAnsi="Times New Roman"/>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Indicate by check mark if the registrant is not required to file reports pursuant to Section 13 or Section 15(d) of the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47" w:lineRule="exact"/>
        <w:rPr>
          <w:sz w:val="24"/>
          <w:szCs w:val="24"/>
          <w:color w:val="auto"/>
        </w:rPr>
      </w:pPr>
    </w:p>
    <w:p>
      <w:pPr>
        <w:spacing w:after="0" w:line="19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0" w:lineRule="exact"/>
        <w:rPr>
          <w:sz w:val="24"/>
          <w:szCs w:val="24"/>
          <w:color w:val="auto"/>
        </w:rPr>
      </w:pPr>
    </w:p>
    <w:p>
      <w:pPr>
        <w:ind w:right="140"/>
        <w:spacing w:after="0" w:line="183"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1" w:lineRule="exact"/>
        <w:rPr>
          <w:sz w:val="24"/>
          <w:szCs w:val="24"/>
          <w:color w:val="auto"/>
        </w:rPr>
      </w:pPr>
    </w:p>
    <w:p>
      <w:pPr>
        <w:ind w:right="140"/>
        <w:spacing w:after="0" w:line="275"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20"/>
          </w:cols>
          <w:pgMar w:left="320" w:top="1028" w:right="359" w:bottom="1440" w:gutter="0" w:footer="0" w:header="0"/>
        </w:sectPr>
      </w:pPr>
    </w:p>
    <w:p>
      <w:pPr>
        <w:spacing w:after="0" w:line="64" w:lineRule="exact"/>
        <w:rPr>
          <w:sz w:val="24"/>
          <w:szCs w:val="24"/>
          <w:color w:val="auto"/>
        </w:rPr>
      </w:pPr>
    </w:p>
    <w:p>
      <w:pPr>
        <w:jc w:val="center"/>
        <w:ind w:left="840"/>
        <w:spacing w:after="0" w:line="161" w:lineRule="exact"/>
        <w:rPr>
          <w:sz w:val="20"/>
          <w:szCs w:val="20"/>
          <w:color w:val="auto"/>
        </w:rPr>
      </w:pPr>
      <w:r>
        <w:rPr>
          <w:rFonts w:ascii="Times New Roman" w:cs="Times New Roman" w:eastAsia="Times New Roman" w:hAnsi="Times New Roman"/>
          <w:sz w:val="14"/>
          <w:szCs w:val="14"/>
          <w:color w:val="auto"/>
        </w:rPr>
        <w:t xml:space="preserve">Large accelerated filer </w:t>
      </w:r>
      <w:r>
        <w:rPr>
          <w:rFonts w:ascii="MS PGothic" w:cs="MS PGothic" w:eastAsia="MS PGothic" w:hAnsi="MS PGothic"/>
          <w:sz w:val="14"/>
          <w:szCs w:val="14"/>
          <w:color w:val="auto"/>
        </w:rPr>
        <w:t>☒</w:t>
      </w:r>
    </w:p>
    <w:p>
      <w:pPr>
        <w:spacing w:after="0" w:line="69" w:lineRule="exact"/>
        <w:rPr>
          <w:sz w:val="24"/>
          <w:szCs w:val="24"/>
          <w:color w:val="auto"/>
        </w:rPr>
      </w:pPr>
    </w:p>
    <w:p>
      <w:pPr>
        <w:jc w:val="center"/>
        <w:ind w:left="840"/>
        <w:spacing w:after="0" w:line="150" w:lineRule="exact"/>
        <w:rPr>
          <w:sz w:val="20"/>
          <w:szCs w:val="20"/>
          <w:color w:val="auto"/>
        </w:rPr>
      </w:pPr>
      <w:r>
        <w:rPr>
          <w:rFonts w:ascii="Times New Roman" w:cs="Times New Roman" w:eastAsia="Times New Roman" w:hAnsi="Times New Roman"/>
          <w:sz w:val="13"/>
          <w:szCs w:val="13"/>
          <w:color w:val="auto"/>
        </w:rPr>
        <w:t xml:space="preserve">Smaller reporting company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44" w:lineRule="exact"/>
        <w:rPr>
          <w:sz w:val="24"/>
          <w:szCs w:val="24"/>
          <w:color w:val="auto"/>
        </w:rPr>
      </w:pPr>
    </w:p>
    <w:p>
      <w:pPr>
        <w:jc w:val="center"/>
        <w:ind w:right="960"/>
        <w:spacing w:after="0" w:line="161" w:lineRule="exact"/>
        <w:rPr>
          <w:sz w:val="20"/>
          <w:szCs w:val="20"/>
          <w:color w:val="auto"/>
        </w:rPr>
      </w:pPr>
      <w:r>
        <w:rPr>
          <w:rFonts w:ascii="Times New Roman" w:cs="Times New Roman" w:eastAsia="Times New Roman" w:hAnsi="Times New Roman"/>
          <w:sz w:val="14"/>
          <w:szCs w:val="14"/>
          <w:color w:val="auto"/>
        </w:rPr>
        <w:t xml:space="preserve">Accelerated filer </w:t>
      </w:r>
      <w:r>
        <w:rPr>
          <w:rFonts w:ascii="MS PGothic" w:cs="MS PGothic" w:eastAsia="MS PGothic" w:hAnsi="MS PGothic"/>
          <w:sz w:val="14"/>
          <w:szCs w:val="14"/>
          <w:color w:val="auto"/>
        </w:rPr>
        <w:t>☐</w:t>
      </w:r>
    </w:p>
    <w:p>
      <w:pPr>
        <w:spacing w:after="0" w:line="69" w:lineRule="exact"/>
        <w:rPr>
          <w:sz w:val="24"/>
          <w:szCs w:val="24"/>
          <w:color w:val="auto"/>
        </w:rPr>
      </w:pPr>
    </w:p>
    <w:p>
      <w:pPr>
        <w:jc w:val="center"/>
        <w:ind w:right="960"/>
        <w:spacing w:after="0" w:line="150" w:lineRule="exact"/>
        <w:rPr>
          <w:sz w:val="20"/>
          <w:szCs w:val="20"/>
          <w:color w:val="auto"/>
        </w:rPr>
      </w:pPr>
      <w:r>
        <w:rPr>
          <w:rFonts w:ascii="Times New Roman" w:cs="Times New Roman" w:eastAsia="Times New Roman" w:hAnsi="Times New Roman"/>
          <w:sz w:val="13"/>
          <w:szCs w:val="13"/>
          <w:color w:val="auto"/>
        </w:rPr>
        <w:t xml:space="preserve">Emerging growth company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44" w:lineRule="exact"/>
        <w:rPr>
          <w:sz w:val="24"/>
          <w:szCs w:val="24"/>
          <w:color w:val="auto"/>
        </w:rPr>
      </w:pPr>
    </w:p>
    <w:p>
      <w:pPr>
        <w:jc w:val="center"/>
        <w:ind w:right="1780"/>
        <w:spacing w:after="0" w:line="150" w:lineRule="exact"/>
        <w:rPr>
          <w:sz w:val="20"/>
          <w:szCs w:val="20"/>
          <w:color w:val="auto"/>
        </w:rPr>
      </w:pPr>
      <w:r>
        <w:rPr>
          <w:rFonts w:ascii="Times New Roman" w:cs="Times New Roman" w:eastAsia="Times New Roman" w:hAnsi="Times New Roman"/>
          <w:sz w:val="13"/>
          <w:szCs w:val="13"/>
          <w:color w:val="auto"/>
        </w:rPr>
        <w:t xml:space="preserve">Non-accelerated filer </w:t>
      </w:r>
      <w:r>
        <w:rPr>
          <w:rFonts w:ascii="MS PGothic" w:cs="MS PGothic" w:eastAsia="MS PGothic" w:hAnsi="MS PGothic"/>
          <w:sz w:val="13"/>
          <w:szCs w:val="13"/>
          <w:color w:val="auto"/>
        </w:rPr>
        <w:t>☐</w:t>
      </w:r>
    </w:p>
    <w:p>
      <w:pPr>
        <w:spacing w:after="0" w:line="397" w:lineRule="exact"/>
        <w:rPr>
          <w:sz w:val="24"/>
          <w:szCs w:val="24"/>
          <w:color w:val="auto"/>
        </w:rPr>
      </w:pPr>
    </w:p>
    <w:p>
      <w:pPr>
        <w:sectPr>
          <w:pgSz w:w="11900" w:h="16838" w:orient="portrait"/>
          <w:cols w:equalWidth="0" w:num="3">
            <w:col w:w="4060" w:space="720"/>
            <w:col w:w="2620" w:space="720"/>
            <w:col w:w="3100"/>
          </w:cols>
          <w:pgMar w:left="320" w:top="1028" w:right="359" w:bottom="1440" w:gutter="0" w:footer="0" w:header="0"/>
          <w:type w:val="continuous"/>
        </w:sectPr>
      </w:pPr>
    </w:p>
    <w:p>
      <w:pPr>
        <w:ind w:right="180" w:firstLine="309"/>
        <w:spacing w:after="0" w:line="190"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47" w:lineRule="exact"/>
        <w:rPr>
          <w:sz w:val="24"/>
          <w:szCs w:val="24"/>
          <w:color w:val="auto"/>
        </w:rPr>
      </w:pPr>
    </w:p>
    <w:p>
      <w:pPr>
        <w:ind w:right="240" w:firstLine="309"/>
        <w:spacing w:after="0" w:line="19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47" w:lineRule="exact"/>
        <w:rPr>
          <w:sz w:val="24"/>
          <w:szCs w:val="24"/>
          <w:color w:val="auto"/>
        </w:rPr>
      </w:pPr>
    </w:p>
    <w:p>
      <w:pPr>
        <w:ind w:right="300" w:firstLine="309"/>
        <w:spacing w:after="0" w:line="190"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60" w:lineRule="exact"/>
        <w:rPr>
          <w:sz w:val="24"/>
          <w:szCs w:val="24"/>
          <w:color w:val="auto"/>
        </w:rPr>
      </w:pPr>
    </w:p>
    <w:p>
      <w:pPr>
        <w:ind w:firstLine="309"/>
        <w:spacing w:after="0" w:line="183"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42" w:lineRule="exact"/>
        <w:rPr>
          <w:sz w:val="24"/>
          <w:szCs w:val="24"/>
          <w:color w:val="auto"/>
        </w:rPr>
      </w:pPr>
    </w:p>
    <w:p>
      <w:pPr>
        <w:ind w:left="320"/>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15" w:lineRule="exact"/>
        <w:rPr>
          <w:sz w:val="24"/>
          <w:szCs w:val="24"/>
          <w:color w:val="auto"/>
        </w:rPr>
      </w:pPr>
    </w:p>
    <w:p>
      <w:pPr>
        <w:ind w:right="80" w:firstLine="309"/>
        <w:spacing w:after="0" w:line="275" w:lineRule="auto"/>
        <w:rPr>
          <w:sz w:val="20"/>
          <w:szCs w:val="20"/>
          <w:color w:val="auto"/>
        </w:rPr>
      </w:pPr>
      <w:r>
        <w:rPr>
          <w:rFonts w:ascii="Times New Roman" w:cs="Times New Roman" w:eastAsia="Times New Roman" w:hAnsi="Times New Roman"/>
          <w:sz w:val="14"/>
          <w:szCs w:val="14"/>
          <w:color w:val="auto"/>
        </w:rPr>
        <w:t>The aggregate market value of the registrant’s voting and non-voting common equity held by non-affiliates of the registrant based on the closing price of the shares of common stock on The Nasdaq Stock Market on June 30, 2025, was $2.6 billion. As of February 23, 2026, there were 129,419,836 shares of the registrant’s common stock outstanding.</w:t>
      </w:r>
    </w:p>
    <w:p>
      <w:pPr>
        <w:spacing w:after="0" w:line="40"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101"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4"/>
          <w:szCs w:val="14"/>
          <w:color w:val="auto"/>
        </w:rPr>
        <w:t>Portions of the registrant's definitive proxy statement for the 2026 annual meeting of stockholders are incorporated by reference into Part III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708660</wp:posOffset>
            </wp:positionV>
            <wp:extent cx="7164070"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115570</wp:posOffset>
            </wp:positionV>
            <wp:extent cx="7138670" cy="165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8670" cy="165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82550</wp:posOffset>
            </wp:positionV>
            <wp:extent cx="7138670" cy="165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20"/>
          </w:cols>
          <w:pgMar w:left="320" w:top="1028" w:right="35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80"/>
        </w:trPr>
        <w:tc>
          <w:tcPr>
            <w:tcW w:w="1160" w:type="dxa"/>
            <w:vAlign w:val="bottom"/>
          </w:tcPr>
          <w:p>
            <w:pPr>
              <w:spacing w:after="0"/>
              <w:rPr>
                <w:sz w:val="15"/>
                <w:szCs w:val="15"/>
                <w:color w:val="auto"/>
              </w:rPr>
            </w:pPr>
          </w:p>
        </w:tc>
        <w:tc>
          <w:tcPr>
            <w:tcW w:w="9180" w:type="dxa"/>
            <w:vAlign w:val="bottom"/>
          </w:tcPr>
          <w:p>
            <w:pPr>
              <w:jc w:val="center"/>
              <w:ind w:right="183"/>
              <w:spacing w:after="0"/>
              <w:rPr>
                <w:sz w:val="20"/>
                <w:szCs w:val="20"/>
                <w:color w:val="auto"/>
              </w:rPr>
            </w:pPr>
            <w:r>
              <w:rPr>
                <w:rFonts w:ascii="Times New Roman" w:cs="Times New Roman" w:eastAsia="Times New Roman" w:hAnsi="Times New Roman"/>
                <w:sz w:val="15"/>
                <w:szCs w:val="15"/>
                <w:b w:val="1"/>
                <w:bCs w:val="1"/>
                <w:color w:val="auto"/>
              </w:rPr>
              <w:t>SURGERY PARTNERS, INC.</w:t>
            </w:r>
          </w:p>
        </w:tc>
        <w:tc>
          <w:tcPr>
            <w:tcW w:w="900" w:type="dxa"/>
            <w:vAlign w:val="bottom"/>
          </w:tcPr>
          <w:p>
            <w:pPr>
              <w:spacing w:after="0"/>
              <w:rPr>
                <w:sz w:val="15"/>
                <w:szCs w:val="15"/>
                <w:color w:val="auto"/>
              </w:rPr>
            </w:pPr>
          </w:p>
        </w:tc>
      </w:tr>
      <w:tr>
        <w:trPr>
          <w:trHeight w:val="193"/>
        </w:trPr>
        <w:tc>
          <w:tcPr>
            <w:tcW w:w="1160" w:type="dxa"/>
            <w:vAlign w:val="bottom"/>
          </w:tcPr>
          <w:p>
            <w:pPr>
              <w:spacing w:after="0"/>
              <w:rPr>
                <w:sz w:val="16"/>
                <w:szCs w:val="16"/>
                <w:color w:val="auto"/>
              </w:rPr>
            </w:pPr>
          </w:p>
        </w:tc>
        <w:tc>
          <w:tcPr>
            <w:tcW w:w="9180" w:type="dxa"/>
            <w:vAlign w:val="bottom"/>
          </w:tcPr>
          <w:p>
            <w:pPr>
              <w:jc w:val="center"/>
              <w:ind w:right="183"/>
              <w:spacing w:after="0"/>
              <w:rPr>
                <w:sz w:val="20"/>
                <w:szCs w:val="20"/>
                <w:color w:val="auto"/>
              </w:rPr>
            </w:pPr>
            <w:r>
              <w:rPr>
                <w:rFonts w:ascii="Times New Roman" w:cs="Times New Roman" w:eastAsia="Times New Roman" w:hAnsi="Times New Roman"/>
                <w:sz w:val="15"/>
                <w:szCs w:val="15"/>
                <w:b w:val="1"/>
                <w:bCs w:val="1"/>
                <w:color w:val="auto"/>
              </w:rPr>
              <w:t>FORM 10-K</w:t>
            </w:r>
          </w:p>
        </w:tc>
        <w:tc>
          <w:tcPr>
            <w:tcW w:w="900" w:type="dxa"/>
            <w:vAlign w:val="bottom"/>
          </w:tcPr>
          <w:p>
            <w:pPr>
              <w:spacing w:after="0"/>
              <w:rPr>
                <w:sz w:val="16"/>
                <w:szCs w:val="16"/>
                <w:color w:val="auto"/>
              </w:rPr>
            </w:pPr>
          </w:p>
        </w:tc>
      </w:tr>
      <w:tr>
        <w:trPr>
          <w:trHeight w:val="204"/>
        </w:trPr>
        <w:tc>
          <w:tcPr>
            <w:tcW w:w="1160" w:type="dxa"/>
            <w:vAlign w:val="bottom"/>
          </w:tcPr>
          <w:p>
            <w:pPr>
              <w:spacing w:after="0"/>
              <w:rPr>
                <w:sz w:val="17"/>
                <w:szCs w:val="17"/>
                <w:color w:val="auto"/>
              </w:rPr>
            </w:pPr>
          </w:p>
        </w:tc>
        <w:tc>
          <w:tcPr>
            <w:tcW w:w="9180" w:type="dxa"/>
            <w:vAlign w:val="bottom"/>
          </w:tcPr>
          <w:p>
            <w:pPr>
              <w:jc w:val="center"/>
              <w:ind w:right="163"/>
              <w:spacing w:after="0"/>
              <w:rPr>
                <w:sz w:val="20"/>
                <w:szCs w:val="20"/>
                <w:color w:val="auto"/>
              </w:rPr>
            </w:pPr>
            <w:r>
              <w:rPr>
                <w:rFonts w:ascii="Times New Roman" w:cs="Times New Roman" w:eastAsia="Times New Roman" w:hAnsi="Times New Roman"/>
                <w:sz w:val="15"/>
                <w:szCs w:val="15"/>
                <w:b w:val="1"/>
                <w:bCs w:val="1"/>
                <w:color w:val="auto"/>
              </w:rPr>
              <w:t>TABLE OF CONTENTS</w:t>
            </w:r>
          </w:p>
        </w:tc>
        <w:tc>
          <w:tcPr>
            <w:tcW w:w="900" w:type="dxa"/>
            <w:vAlign w:val="bottom"/>
          </w:tcPr>
          <w:p>
            <w:pPr>
              <w:spacing w:after="0"/>
              <w:rPr>
                <w:sz w:val="17"/>
                <w:szCs w:val="17"/>
                <w:color w:val="auto"/>
              </w:rPr>
            </w:pPr>
          </w:p>
        </w:tc>
      </w:tr>
      <w:tr>
        <w:trPr>
          <w:trHeight w:val="219"/>
        </w:trPr>
        <w:tc>
          <w:tcPr>
            <w:tcW w:w="1160" w:type="dxa"/>
            <w:vAlign w:val="bottom"/>
          </w:tcPr>
          <w:p>
            <w:pPr>
              <w:spacing w:after="0"/>
              <w:rPr>
                <w:sz w:val="19"/>
                <w:szCs w:val="19"/>
                <w:color w:val="auto"/>
              </w:rPr>
            </w:pPr>
          </w:p>
        </w:tc>
        <w:tc>
          <w:tcPr>
            <w:tcW w:w="9180" w:type="dxa"/>
            <w:vAlign w:val="bottom"/>
          </w:tcPr>
          <w:p>
            <w:pPr>
              <w:spacing w:after="0"/>
              <w:rPr>
                <w:sz w:val="19"/>
                <w:szCs w:val="19"/>
                <w:color w:val="auto"/>
              </w:rPr>
            </w:pPr>
          </w:p>
        </w:tc>
        <w:tc>
          <w:tcPr>
            <w:tcW w:w="90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5"/>
                <w:szCs w:val="15"/>
                <w:b w:val="1"/>
                <w:bCs w:val="1"/>
                <w:color w:val="auto"/>
              </w:rPr>
              <w:t>Page</w:t>
            </w:r>
          </w:p>
        </w:tc>
      </w:tr>
      <w:tr>
        <w:trPr>
          <w:trHeight w:val="341"/>
        </w:trPr>
        <w:tc>
          <w:tcPr>
            <w:tcW w:w="1160" w:type="dxa"/>
            <w:vAlign w:val="bottom"/>
          </w:tcPr>
          <w:p>
            <w:pPr>
              <w:spacing w:after="0"/>
              <w:rPr>
                <w:sz w:val="24"/>
                <w:szCs w:val="24"/>
                <w:color w:val="auto"/>
              </w:rPr>
            </w:pPr>
          </w:p>
        </w:tc>
        <w:tc>
          <w:tcPr>
            <w:tcW w:w="9180" w:type="dxa"/>
            <w:vAlign w:val="bottom"/>
          </w:tcPr>
          <w:p>
            <w:pPr>
              <w:jc w:val="center"/>
              <w:ind w:right="163"/>
              <w:spacing w:after="0"/>
              <w:rPr>
                <w:sz w:val="20"/>
                <w:szCs w:val="20"/>
                <w:color w:val="auto"/>
              </w:rPr>
            </w:pPr>
            <w:r>
              <w:rPr>
                <w:rFonts w:ascii="Times New Roman" w:cs="Times New Roman" w:eastAsia="Times New Roman" w:hAnsi="Times New Roman"/>
                <w:sz w:val="15"/>
                <w:szCs w:val="15"/>
                <w:b w:val="1"/>
                <w:bCs w:val="1"/>
                <w:color w:val="0000FF"/>
                <w:w w:val="99"/>
              </w:rPr>
              <w:t>PART I</w:t>
            </w:r>
          </w:p>
        </w:tc>
        <w:tc>
          <w:tcPr>
            <w:tcW w:w="900" w:type="dxa"/>
            <w:vAlign w:val="bottom"/>
          </w:tcPr>
          <w:p>
            <w:pPr>
              <w:spacing w:after="0"/>
              <w:rPr>
                <w:sz w:val="24"/>
                <w:szCs w:val="24"/>
                <w:color w:val="auto"/>
              </w:rPr>
            </w:pPr>
          </w:p>
        </w:tc>
      </w:tr>
      <w:tr>
        <w:trPr>
          <w:trHeight w:val="309"/>
        </w:trPr>
        <w:tc>
          <w:tcPr>
            <w:tcW w:w="1160" w:type="dxa"/>
            <w:vAlign w:val="bottom"/>
          </w:tcPr>
          <w:p>
            <w:pPr>
              <w:ind w:left="220"/>
              <w:spacing w:after="0"/>
              <w:rPr>
                <w:sz w:val="20"/>
                <w:szCs w:val="20"/>
                <w:color w:val="auto"/>
              </w:rPr>
            </w:pPr>
            <w:r>
              <w:rPr>
                <w:rFonts w:ascii="Times New Roman" w:cs="Times New Roman" w:eastAsia="Times New Roman" w:hAnsi="Times New Roman"/>
                <w:sz w:val="15"/>
                <w:szCs w:val="15"/>
                <w:color w:val="0000FF"/>
              </w:rPr>
              <w:t>Item 1.</w:t>
            </w:r>
          </w:p>
        </w:tc>
        <w:tc>
          <w:tcPr>
            <w:tcW w:w="918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Business</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1</w:t>
            </w:r>
          </w:p>
        </w:tc>
      </w:tr>
      <w:tr>
        <w:trPr>
          <w:trHeight w:val="206"/>
        </w:trPr>
        <w:tc>
          <w:tcPr>
            <w:tcW w:w="1160" w:type="dxa"/>
            <w:vAlign w:val="bottom"/>
          </w:tcPr>
          <w:p>
            <w:pPr>
              <w:ind w:left="220"/>
              <w:spacing w:after="0"/>
              <w:rPr>
                <w:sz w:val="20"/>
                <w:szCs w:val="20"/>
                <w:color w:val="auto"/>
              </w:rPr>
            </w:pPr>
            <w:r>
              <w:rPr>
                <w:rFonts w:ascii="Times New Roman" w:cs="Times New Roman" w:eastAsia="Times New Roman" w:hAnsi="Times New Roman"/>
                <w:sz w:val="15"/>
                <w:szCs w:val="15"/>
                <w:color w:val="0000FF"/>
              </w:rPr>
              <w:t>Item 1A.</w:t>
            </w:r>
          </w:p>
        </w:tc>
        <w:tc>
          <w:tcPr>
            <w:tcW w:w="918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Risk Factors</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3"/>
              </w:rPr>
              <w:t>11</w:t>
            </w:r>
          </w:p>
        </w:tc>
      </w:tr>
      <w:tr>
        <w:trPr>
          <w:trHeight w:val="206"/>
        </w:trPr>
        <w:tc>
          <w:tcPr>
            <w:tcW w:w="1160" w:type="dxa"/>
            <w:vAlign w:val="bottom"/>
          </w:tcPr>
          <w:p>
            <w:pPr>
              <w:ind w:left="220"/>
              <w:spacing w:after="0"/>
              <w:rPr>
                <w:sz w:val="20"/>
                <w:szCs w:val="20"/>
                <w:color w:val="auto"/>
              </w:rPr>
            </w:pPr>
            <w:r>
              <w:rPr>
                <w:rFonts w:ascii="Times New Roman" w:cs="Times New Roman" w:eastAsia="Times New Roman" w:hAnsi="Times New Roman"/>
                <w:sz w:val="15"/>
                <w:szCs w:val="15"/>
                <w:color w:val="0000FF"/>
              </w:rPr>
              <w:t>Item 1B.</w:t>
            </w:r>
          </w:p>
        </w:tc>
        <w:tc>
          <w:tcPr>
            <w:tcW w:w="918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Unresolved Staff Comments</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27</w:t>
            </w:r>
          </w:p>
        </w:tc>
      </w:tr>
      <w:tr>
        <w:trPr>
          <w:trHeight w:val="206"/>
        </w:trPr>
        <w:tc>
          <w:tcPr>
            <w:tcW w:w="1160" w:type="dxa"/>
            <w:vAlign w:val="bottom"/>
          </w:tcPr>
          <w:p>
            <w:pPr>
              <w:ind w:left="220"/>
              <w:spacing w:after="0"/>
              <w:rPr>
                <w:sz w:val="20"/>
                <w:szCs w:val="20"/>
                <w:color w:val="auto"/>
              </w:rPr>
            </w:pPr>
            <w:r>
              <w:rPr>
                <w:rFonts w:ascii="Times New Roman" w:cs="Times New Roman" w:eastAsia="Times New Roman" w:hAnsi="Times New Roman"/>
                <w:sz w:val="15"/>
                <w:szCs w:val="15"/>
                <w:color w:val="0000FF"/>
              </w:rPr>
              <w:t>Item 1C.</w:t>
            </w:r>
          </w:p>
        </w:tc>
        <w:tc>
          <w:tcPr>
            <w:tcW w:w="918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Cybersecurity</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27</w:t>
            </w:r>
          </w:p>
        </w:tc>
      </w:tr>
      <w:tr>
        <w:trPr>
          <w:trHeight w:val="206"/>
        </w:trPr>
        <w:tc>
          <w:tcPr>
            <w:tcW w:w="1160" w:type="dxa"/>
            <w:vAlign w:val="bottom"/>
          </w:tcPr>
          <w:p>
            <w:pPr>
              <w:ind w:left="220"/>
              <w:spacing w:after="0"/>
              <w:rPr>
                <w:sz w:val="20"/>
                <w:szCs w:val="20"/>
                <w:color w:val="auto"/>
              </w:rPr>
            </w:pPr>
            <w:r>
              <w:rPr>
                <w:rFonts w:ascii="Times New Roman" w:cs="Times New Roman" w:eastAsia="Times New Roman" w:hAnsi="Times New Roman"/>
                <w:sz w:val="15"/>
                <w:szCs w:val="15"/>
                <w:color w:val="0000FF"/>
              </w:rPr>
              <w:t>Item 2.</w:t>
            </w:r>
          </w:p>
        </w:tc>
        <w:tc>
          <w:tcPr>
            <w:tcW w:w="918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Properties</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27</w:t>
            </w:r>
          </w:p>
        </w:tc>
      </w:tr>
      <w:tr>
        <w:trPr>
          <w:trHeight w:val="206"/>
        </w:trPr>
        <w:tc>
          <w:tcPr>
            <w:tcW w:w="1160" w:type="dxa"/>
            <w:vAlign w:val="bottom"/>
          </w:tcPr>
          <w:p>
            <w:pPr>
              <w:ind w:left="220"/>
              <w:spacing w:after="0"/>
              <w:rPr>
                <w:sz w:val="20"/>
                <w:szCs w:val="20"/>
                <w:color w:val="auto"/>
              </w:rPr>
            </w:pPr>
            <w:r>
              <w:rPr>
                <w:rFonts w:ascii="Times New Roman" w:cs="Times New Roman" w:eastAsia="Times New Roman" w:hAnsi="Times New Roman"/>
                <w:sz w:val="15"/>
                <w:szCs w:val="15"/>
                <w:color w:val="0000FF"/>
              </w:rPr>
              <w:t>Item 3.</w:t>
            </w:r>
          </w:p>
        </w:tc>
        <w:tc>
          <w:tcPr>
            <w:tcW w:w="918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Legal Proceedings</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27</w:t>
            </w:r>
          </w:p>
        </w:tc>
      </w:tr>
      <w:tr>
        <w:trPr>
          <w:trHeight w:val="206"/>
        </w:trPr>
        <w:tc>
          <w:tcPr>
            <w:tcW w:w="1160" w:type="dxa"/>
            <w:vAlign w:val="bottom"/>
          </w:tcPr>
          <w:p>
            <w:pPr>
              <w:ind w:left="220"/>
              <w:spacing w:after="0"/>
              <w:rPr>
                <w:sz w:val="20"/>
                <w:szCs w:val="20"/>
                <w:color w:val="auto"/>
              </w:rPr>
            </w:pPr>
            <w:r>
              <w:rPr>
                <w:rFonts w:ascii="Times New Roman" w:cs="Times New Roman" w:eastAsia="Times New Roman" w:hAnsi="Times New Roman"/>
                <w:sz w:val="15"/>
                <w:szCs w:val="15"/>
                <w:color w:val="0000FF"/>
              </w:rPr>
              <w:t>Item 4.</w:t>
            </w:r>
          </w:p>
        </w:tc>
        <w:tc>
          <w:tcPr>
            <w:tcW w:w="918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Mine Safety Disclosures</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28</w:t>
            </w:r>
          </w:p>
        </w:tc>
      </w:tr>
      <w:tr>
        <w:trPr>
          <w:trHeight w:val="309"/>
        </w:trPr>
        <w:tc>
          <w:tcPr>
            <w:tcW w:w="1160" w:type="dxa"/>
            <w:vAlign w:val="bottom"/>
          </w:tcPr>
          <w:p>
            <w:pPr>
              <w:spacing w:after="0"/>
              <w:rPr>
                <w:sz w:val="24"/>
                <w:szCs w:val="24"/>
                <w:color w:val="auto"/>
              </w:rPr>
            </w:pPr>
          </w:p>
        </w:tc>
        <w:tc>
          <w:tcPr>
            <w:tcW w:w="9180" w:type="dxa"/>
            <w:vAlign w:val="bottom"/>
          </w:tcPr>
          <w:p>
            <w:pPr>
              <w:jc w:val="center"/>
              <w:ind w:right="183"/>
              <w:spacing w:after="0"/>
              <w:rPr>
                <w:sz w:val="20"/>
                <w:szCs w:val="20"/>
                <w:color w:val="auto"/>
              </w:rPr>
            </w:pPr>
            <w:r>
              <w:rPr>
                <w:rFonts w:ascii="Times New Roman" w:cs="Times New Roman" w:eastAsia="Times New Roman" w:hAnsi="Times New Roman"/>
                <w:sz w:val="15"/>
                <w:szCs w:val="15"/>
                <w:b w:val="1"/>
                <w:bCs w:val="1"/>
                <w:color w:val="0000FF"/>
                <w:w w:val="99"/>
              </w:rPr>
              <w:t>PART II</w:t>
            </w:r>
          </w:p>
        </w:tc>
        <w:tc>
          <w:tcPr>
            <w:tcW w:w="900" w:type="dxa"/>
            <w:vAlign w:val="bottom"/>
          </w:tcPr>
          <w:p>
            <w:pPr>
              <w:spacing w:after="0"/>
              <w:rPr>
                <w:sz w:val="24"/>
                <w:szCs w:val="24"/>
                <w:color w:val="auto"/>
              </w:rPr>
            </w:pPr>
          </w:p>
        </w:tc>
      </w:tr>
      <w:tr>
        <w:trPr>
          <w:trHeight w:val="309"/>
        </w:trPr>
        <w:tc>
          <w:tcPr>
            <w:tcW w:w="1160" w:type="dxa"/>
            <w:vAlign w:val="bottom"/>
          </w:tcPr>
          <w:p>
            <w:pPr>
              <w:ind w:left="220"/>
              <w:spacing w:after="0"/>
              <w:rPr>
                <w:sz w:val="20"/>
                <w:szCs w:val="20"/>
                <w:color w:val="auto"/>
              </w:rPr>
            </w:pPr>
            <w:r>
              <w:rPr>
                <w:rFonts w:ascii="Times New Roman" w:cs="Times New Roman" w:eastAsia="Times New Roman" w:hAnsi="Times New Roman"/>
                <w:sz w:val="15"/>
                <w:szCs w:val="15"/>
                <w:color w:val="0000FF"/>
              </w:rPr>
              <w:t>Item 5.</w:t>
            </w:r>
          </w:p>
        </w:tc>
        <w:tc>
          <w:tcPr>
            <w:tcW w:w="918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Market for Registrant’s Common Equity, Related Stockholder Matters and Issuer Purchases of Equity Securities</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29</w:t>
            </w:r>
          </w:p>
        </w:tc>
      </w:tr>
      <w:tr>
        <w:trPr>
          <w:trHeight w:val="206"/>
        </w:trPr>
        <w:tc>
          <w:tcPr>
            <w:tcW w:w="1160" w:type="dxa"/>
            <w:vAlign w:val="bottom"/>
          </w:tcPr>
          <w:p>
            <w:pPr>
              <w:ind w:left="220"/>
              <w:spacing w:after="0"/>
              <w:rPr>
                <w:sz w:val="20"/>
                <w:szCs w:val="20"/>
                <w:color w:val="auto"/>
              </w:rPr>
            </w:pPr>
            <w:r>
              <w:rPr>
                <w:rFonts w:ascii="Times New Roman" w:cs="Times New Roman" w:eastAsia="Times New Roman" w:hAnsi="Times New Roman"/>
                <w:sz w:val="15"/>
                <w:szCs w:val="15"/>
                <w:color w:val="0000FF"/>
              </w:rPr>
              <w:t>Item 6.</w:t>
            </w:r>
          </w:p>
        </w:tc>
        <w:tc>
          <w:tcPr>
            <w:tcW w:w="918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[Reserved]</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30</w:t>
            </w:r>
          </w:p>
        </w:tc>
      </w:tr>
      <w:tr>
        <w:trPr>
          <w:trHeight w:val="206"/>
        </w:trPr>
        <w:tc>
          <w:tcPr>
            <w:tcW w:w="1160" w:type="dxa"/>
            <w:vAlign w:val="bottom"/>
          </w:tcPr>
          <w:p>
            <w:pPr>
              <w:ind w:left="220"/>
              <w:spacing w:after="0"/>
              <w:rPr>
                <w:sz w:val="20"/>
                <w:szCs w:val="20"/>
                <w:color w:val="auto"/>
              </w:rPr>
            </w:pPr>
            <w:r>
              <w:rPr>
                <w:rFonts w:ascii="Times New Roman" w:cs="Times New Roman" w:eastAsia="Times New Roman" w:hAnsi="Times New Roman"/>
                <w:sz w:val="15"/>
                <w:szCs w:val="15"/>
                <w:color w:val="0000FF"/>
              </w:rPr>
              <w:t>Item 7.</w:t>
            </w:r>
          </w:p>
        </w:tc>
        <w:tc>
          <w:tcPr>
            <w:tcW w:w="918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Management's Discussion and Analysis of Financial Condition and Results of Operations</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30</w:t>
            </w:r>
          </w:p>
        </w:tc>
      </w:tr>
      <w:tr>
        <w:trPr>
          <w:trHeight w:val="206"/>
        </w:trPr>
        <w:tc>
          <w:tcPr>
            <w:tcW w:w="1160" w:type="dxa"/>
            <w:vAlign w:val="bottom"/>
          </w:tcPr>
          <w:p>
            <w:pPr>
              <w:ind w:left="220"/>
              <w:spacing w:after="0"/>
              <w:rPr>
                <w:sz w:val="20"/>
                <w:szCs w:val="20"/>
                <w:color w:val="auto"/>
              </w:rPr>
            </w:pPr>
            <w:r>
              <w:rPr>
                <w:rFonts w:ascii="Times New Roman" w:cs="Times New Roman" w:eastAsia="Times New Roman" w:hAnsi="Times New Roman"/>
                <w:sz w:val="15"/>
                <w:szCs w:val="15"/>
                <w:color w:val="0000FF"/>
              </w:rPr>
              <w:t>Item 7A.</w:t>
            </w:r>
          </w:p>
        </w:tc>
        <w:tc>
          <w:tcPr>
            <w:tcW w:w="918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Quantitative and Qualitative Disclosure About Market Risk</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39</w:t>
            </w:r>
          </w:p>
        </w:tc>
      </w:tr>
      <w:tr>
        <w:trPr>
          <w:trHeight w:val="206"/>
        </w:trPr>
        <w:tc>
          <w:tcPr>
            <w:tcW w:w="1160" w:type="dxa"/>
            <w:vAlign w:val="bottom"/>
          </w:tcPr>
          <w:p>
            <w:pPr>
              <w:ind w:left="220"/>
              <w:spacing w:after="0"/>
              <w:rPr>
                <w:sz w:val="20"/>
                <w:szCs w:val="20"/>
                <w:color w:val="auto"/>
              </w:rPr>
            </w:pPr>
            <w:r>
              <w:rPr>
                <w:rFonts w:ascii="Times New Roman" w:cs="Times New Roman" w:eastAsia="Times New Roman" w:hAnsi="Times New Roman"/>
                <w:sz w:val="15"/>
                <w:szCs w:val="15"/>
                <w:color w:val="0000FF"/>
              </w:rPr>
              <w:t>Item 8.</w:t>
            </w:r>
          </w:p>
        </w:tc>
        <w:tc>
          <w:tcPr>
            <w:tcW w:w="918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Financial Statements and Supplementary Data</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39</w:t>
            </w:r>
          </w:p>
        </w:tc>
      </w:tr>
      <w:tr>
        <w:trPr>
          <w:trHeight w:val="206"/>
        </w:trPr>
        <w:tc>
          <w:tcPr>
            <w:tcW w:w="1160" w:type="dxa"/>
            <w:vAlign w:val="bottom"/>
          </w:tcPr>
          <w:p>
            <w:pPr>
              <w:ind w:left="220"/>
              <w:spacing w:after="0"/>
              <w:rPr>
                <w:sz w:val="20"/>
                <w:szCs w:val="20"/>
                <w:color w:val="auto"/>
              </w:rPr>
            </w:pPr>
            <w:r>
              <w:rPr>
                <w:rFonts w:ascii="Times New Roman" w:cs="Times New Roman" w:eastAsia="Times New Roman" w:hAnsi="Times New Roman"/>
                <w:sz w:val="15"/>
                <w:szCs w:val="15"/>
                <w:color w:val="0000FF"/>
              </w:rPr>
              <w:t>Item 9.</w:t>
            </w:r>
          </w:p>
        </w:tc>
        <w:tc>
          <w:tcPr>
            <w:tcW w:w="918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Changes in and Disagreements With Accountants on Accounting and Financial Disclosure</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39</w:t>
            </w:r>
          </w:p>
        </w:tc>
      </w:tr>
      <w:tr>
        <w:trPr>
          <w:trHeight w:val="206"/>
        </w:trPr>
        <w:tc>
          <w:tcPr>
            <w:tcW w:w="1160" w:type="dxa"/>
            <w:vAlign w:val="bottom"/>
          </w:tcPr>
          <w:p>
            <w:pPr>
              <w:ind w:left="220"/>
              <w:spacing w:after="0"/>
              <w:rPr>
                <w:sz w:val="20"/>
                <w:szCs w:val="20"/>
                <w:color w:val="auto"/>
              </w:rPr>
            </w:pPr>
            <w:r>
              <w:rPr>
                <w:rFonts w:ascii="Times New Roman" w:cs="Times New Roman" w:eastAsia="Times New Roman" w:hAnsi="Times New Roman"/>
                <w:sz w:val="15"/>
                <w:szCs w:val="15"/>
                <w:color w:val="0000FF"/>
              </w:rPr>
              <w:t>Item 9A.</w:t>
            </w:r>
          </w:p>
        </w:tc>
        <w:tc>
          <w:tcPr>
            <w:tcW w:w="918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Controls and Procedures</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39</w:t>
            </w:r>
          </w:p>
        </w:tc>
      </w:tr>
      <w:tr>
        <w:trPr>
          <w:trHeight w:val="206"/>
        </w:trPr>
        <w:tc>
          <w:tcPr>
            <w:tcW w:w="1160" w:type="dxa"/>
            <w:vAlign w:val="bottom"/>
          </w:tcPr>
          <w:p>
            <w:pPr>
              <w:ind w:left="220"/>
              <w:spacing w:after="0"/>
              <w:rPr>
                <w:sz w:val="20"/>
                <w:szCs w:val="20"/>
                <w:color w:val="auto"/>
              </w:rPr>
            </w:pPr>
            <w:r>
              <w:rPr>
                <w:rFonts w:ascii="Times New Roman" w:cs="Times New Roman" w:eastAsia="Times New Roman" w:hAnsi="Times New Roman"/>
                <w:sz w:val="15"/>
                <w:szCs w:val="15"/>
                <w:color w:val="0000FF"/>
              </w:rPr>
              <w:t>Item 9B.</w:t>
            </w:r>
          </w:p>
        </w:tc>
        <w:tc>
          <w:tcPr>
            <w:tcW w:w="918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Other Information</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42</w:t>
            </w:r>
          </w:p>
        </w:tc>
      </w:tr>
      <w:tr>
        <w:trPr>
          <w:trHeight w:val="206"/>
        </w:trPr>
        <w:tc>
          <w:tcPr>
            <w:tcW w:w="1160" w:type="dxa"/>
            <w:vAlign w:val="bottom"/>
          </w:tcPr>
          <w:p>
            <w:pPr>
              <w:ind w:left="220"/>
              <w:spacing w:after="0"/>
              <w:rPr>
                <w:sz w:val="20"/>
                <w:szCs w:val="20"/>
                <w:color w:val="auto"/>
              </w:rPr>
            </w:pPr>
            <w:r>
              <w:rPr>
                <w:rFonts w:ascii="Times New Roman" w:cs="Times New Roman" w:eastAsia="Times New Roman" w:hAnsi="Times New Roman"/>
                <w:sz w:val="15"/>
                <w:szCs w:val="15"/>
                <w:color w:val="0000FF"/>
              </w:rPr>
              <w:t>Item 9C.</w:t>
            </w:r>
          </w:p>
        </w:tc>
        <w:tc>
          <w:tcPr>
            <w:tcW w:w="918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Disclosure Regarding Foreign Jurisdictions that Prevent Inspections</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42</w:t>
            </w:r>
          </w:p>
        </w:tc>
      </w:tr>
      <w:tr>
        <w:trPr>
          <w:trHeight w:val="309"/>
        </w:trPr>
        <w:tc>
          <w:tcPr>
            <w:tcW w:w="1160" w:type="dxa"/>
            <w:vAlign w:val="bottom"/>
          </w:tcPr>
          <w:p>
            <w:pPr>
              <w:spacing w:after="0"/>
              <w:rPr>
                <w:sz w:val="24"/>
                <w:szCs w:val="24"/>
                <w:color w:val="auto"/>
              </w:rPr>
            </w:pPr>
          </w:p>
        </w:tc>
        <w:tc>
          <w:tcPr>
            <w:tcW w:w="9180" w:type="dxa"/>
            <w:vAlign w:val="bottom"/>
          </w:tcPr>
          <w:p>
            <w:pPr>
              <w:jc w:val="center"/>
              <w:ind w:right="163"/>
              <w:spacing w:after="0"/>
              <w:rPr>
                <w:sz w:val="20"/>
                <w:szCs w:val="20"/>
                <w:color w:val="auto"/>
              </w:rPr>
            </w:pPr>
            <w:r>
              <w:rPr>
                <w:rFonts w:ascii="Times New Roman" w:cs="Times New Roman" w:eastAsia="Times New Roman" w:hAnsi="Times New Roman"/>
                <w:sz w:val="15"/>
                <w:szCs w:val="15"/>
                <w:b w:val="1"/>
                <w:bCs w:val="1"/>
                <w:color w:val="0000FF"/>
                <w:w w:val="99"/>
              </w:rPr>
              <w:t>PART III</w:t>
            </w:r>
          </w:p>
        </w:tc>
        <w:tc>
          <w:tcPr>
            <w:tcW w:w="900" w:type="dxa"/>
            <w:vAlign w:val="bottom"/>
          </w:tcPr>
          <w:p>
            <w:pPr>
              <w:spacing w:after="0"/>
              <w:rPr>
                <w:sz w:val="24"/>
                <w:szCs w:val="24"/>
                <w:color w:val="auto"/>
              </w:rPr>
            </w:pPr>
          </w:p>
        </w:tc>
      </w:tr>
      <w:tr>
        <w:trPr>
          <w:trHeight w:val="309"/>
        </w:trPr>
        <w:tc>
          <w:tcPr>
            <w:tcW w:w="1160" w:type="dxa"/>
            <w:vAlign w:val="bottom"/>
          </w:tcPr>
          <w:p>
            <w:pPr>
              <w:ind w:left="220"/>
              <w:spacing w:after="0"/>
              <w:rPr>
                <w:sz w:val="20"/>
                <w:szCs w:val="20"/>
                <w:color w:val="auto"/>
              </w:rPr>
            </w:pPr>
            <w:r>
              <w:rPr>
                <w:rFonts w:ascii="Times New Roman" w:cs="Times New Roman" w:eastAsia="Times New Roman" w:hAnsi="Times New Roman"/>
                <w:sz w:val="15"/>
                <w:szCs w:val="15"/>
                <w:color w:val="0000FF"/>
              </w:rPr>
              <w:t>Item 10.</w:t>
            </w:r>
          </w:p>
        </w:tc>
        <w:tc>
          <w:tcPr>
            <w:tcW w:w="918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Directors, Executive Officers and Corporate Governance</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43</w:t>
            </w:r>
          </w:p>
        </w:tc>
      </w:tr>
      <w:tr>
        <w:trPr>
          <w:trHeight w:val="206"/>
        </w:trPr>
        <w:tc>
          <w:tcPr>
            <w:tcW w:w="1160" w:type="dxa"/>
            <w:vAlign w:val="bottom"/>
          </w:tcPr>
          <w:p>
            <w:pPr>
              <w:ind w:left="220"/>
              <w:spacing w:after="0"/>
              <w:rPr>
                <w:sz w:val="20"/>
                <w:szCs w:val="20"/>
                <w:color w:val="auto"/>
              </w:rPr>
            </w:pPr>
            <w:r>
              <w:rPr>
                <w:rFonts w:ascii="Times New Roman" w:cs="Times New Roman" w:eastAsia="Times New Roman" w:hAnsi="Times New Roman"/>
                <w:sz w:val="15"/>
                <w:szCs w:val="15"/>
                <w:color w:val="0000FF"/>
              </w:rPr>
              <w:t>Item 11.</w:t>
            </w:r>
          </w:p>
        </w:tc>
        <w:tc>
          <w:tcPr>
            <w:tcW w:w="918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Executive Compensation</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43</w:t>
            </w:r>
          </w:p>
        </w:tc>
      </w:tr>
      <w:tr>
        <w:trPr>
          <w:trHeight w:val="206"/>
        </w:trPr>
        <w:tc>
          <w:tcPr>
            <w:tcW w:w="1160" w:type="dxa"/>
            <w:vAlign w:val="bottom"/>
          </w:tcPr>
          <w:p>
            <w:pPr>
              <w:ind w:left="220"/>
              <w:spacing w:after="0"/>
              <w:rPr>
                <w:sz w:val="20"/>
                <w:szCs w:val="20"/>
                <w:color w:val="auto"/>
              </w:rPr>
            </w:pPr>
            <w:r>
              <w:rPr>
                <w:rFonts w:ascii="Times New Roman" w:cs="Times New Roman" w:eastAsia="Times New Roman" w:hAnsi="Times New Roman"/>
                <w:sz w:val="15"/>
                <w:szCs w:val="15"/>
                <w:color w:val="0000FF"/>
              </w:rPr>
              <w:t>Item 12.</w:t>
            </w:r>
          </w:p>
        </w:tc>
        <w:tc>
          <w:tcPr>
            <w:tcW w:w="918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Security Ownership of Certain Beneficial Owners and Management and Related Stockholder Matters</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43</w:t>
            </w:r>
          </w:p>
        </w:tc>
      </w:tr>
      <w:tr>
        <w:trPr>
          <w:trHeight w:val="206"/>
        </w:trPr>
        <w:tc>
          <w:tcPr>
            <w:tcW w:w="1160" w:type="dxa"/>
            <w:vAlign w:val="bottom"/>
          </w:tcPr>
          <w:p>
            <w:pPr>
              <w:ind w:left="220"/>
              <w:spacing w:after="0"/>
              <w:rPr>
                <w:sz w:val="20"/>
                <w:szCs w:val="20"/>
                <w:color w:val="auto"/>
              </w:rPr>
            </w:pPr>
            <w:r>
              <w:rPr>
                <w:rFonts w:ascii="Times New Roman" w:cs="Times New Roman" w:eastAsia="Times New Roman" w:hAnsi="Times New Roman"/>
                <w:sz w:val="15"/>
                <w:szCs w:val="15"/>
                <w:color w:val="0000FF"/>
              </w:rPr>
              <w:t>Item 13.</w:t>
            </w:r>
          </w:p>
        </w:tc>
        <w:tc>
          <w:tcPr>
            <w:tcW w:w="918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Certain Relationships and Related Transactions, and Director Independence</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43</w:t>
            </w:r>
          </w:p>
        </w:tc>
      </w:tr>
      <w:tr>
        <w:trPr>
          <w:trHeight w:val="206"/>
        </w:trPr>
        <w:tc>
          <w:tcPr>
            <w:tcW w:w="1160" w:type="dxa"/>
            <w:vAlign w:val="bottom"/>
          </w:tcPr>
          <w:p>
            <w:pPr>
              <w:ind w:left="220"/>
              <w:spacing w:after="0"/>
              <w:rPr>
                <w:sz w:val="20"/>
                <w:szCs w:val="20"/>
                <w:color w:val="auto"/>
              </w:rPr>
            </w:pPr>
            <w:r>
              <w:rPr>
                <w:rFonts w:ascii="Times New Roman" w:cs="Times New Roman" w:eastAsia="Times New Roman" w:hAnsi="Times New Roman"/>
                <w:sz w:val="15"/>
                <w:szCs w:val="15"/>
                <w:color w:val="0000FF"/>
              </w:rPr>
              <w:t>Item 14.</w:t>
            </w:r>
          </w:p>
        </w:tc>
        <w:tc>
          <w:tcPr>
            <w:tcW w:w="918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Principal Accounting Fees and Services</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43</w:t>
            </w:r>
          </w:p>
        </w:tc>
      </w:tr>
      <w:tr>
        <w:trPr>
          <w:trHeight w:val="309"/>
        </w:trPr>
        <w:tc>
          <w:tcPr>
            <w:tcW w:w="1160" w:type="dxa"/>
            <w:vAlign w:val="bottom"/>
          </w:tcPr>
          <w:p>
            <w:pPr>
              <w:spacing w:after="0"/>
              <w:rPr>
                <w:sz w:val="24"/>
                <w:szCs w:val="24"/>
                <w:color w:val="auto"/>
              </w:rPr>
            </w:pPr>
          </w:p>
        </w:tc>
        <w:tc>
          <w:tcPr>
            <w:tcW w:w="9180" w:type="dxa"/>
            <w:vAlign w:val="bottom"/>
          </w:tcPr>
          <w:p>
            <w:pPr>
              <w:jc w:val="center"/>
              <w:ind w:right="163"/>
              <w:spacing w:after="0"/>
              <w:rPr>
                <w:sz w:val="20"/>
                <w:szCs w:val="20"/>
                <w:color w:val="auto"/>
              </w:rPr>
            </w:pPr>
            <w:r>
              <w:rPr>
                <w:rFonts w:ascii="Times New Roman" w:cs="Times New Roman" w:eastAsia="Times New Roman" w:hAnsi="Times New Roman"/>
                <w:sz w:val="15"/>
                <w:szCs w:val="15"/>
                <w:b w:val="1"/>
                <w:bCs w:val="1"/>
                <w:color w:val="0000FF"/>
              </w:rPr>
              <w:t>PART IV</w:t>
            </w:r>
          </w:p>
        </w:tc>
        <w:tc>
          <w:tcPr>
            <w:tcW w:w="900" w:type="dxa"/>
            <w:vAlign w:val="bottom"/>
          </w:tcPr>
          <w:p>
            <w:pPr>
              <w:spacing w:after="0"/>
              <w:rPr>
                <w:sz w:val="24"/>
                <w:szCs w:val="24"/>
                <w:color w:val="auto"/>
              </w:rPr>
            </w:pPr>
          </w:p>
        </w:tc>
      </w:tr>
      <w:tr>
        <w:trPr>
          <w:trHeight w:val="309"/>
        </w:trPr>
        <w:tc>
          <w:tcPr>
            <w:tcW w:w="1160" w:type="dxa"/>
            <w:vAlign w:val="bottom"/>
          </w:tcPr>
          <w:p>
            <w:pPr>
              <w:ind w:left="220"/>
              <w:spacing w:after="0"/>
              <w:rPr>
                <w:sz w:val="20"/>
                <w:szCs w:val="20"/>
                <w:color w:val="auto"/>
              </w:rPr>
            </w:pPr>
            <w:r>
              <w:rPr>
                <w:rFonts w:ascii="Times New Roman" w:cs="Times New Roman" w:eastAsia="Times New Roman" w:hAnsi="Times New Roman"/>
                <w:sz w:val="15"/>
                <w:szCs w:val="15"/>
                <w:color w:val="0000FF"/>
              </w:rPr>
              <w:t>Item 15.</w:t>
            </w:r>
          </w:p>
        </w:tc>
        <w:tc>
          <w:tcPr>
            <w:tcW w:w="918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Exhibits and Financial Statement Schedules</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44</w:t>
            </w:r>
          </w:p>
        </w:tc>
      </w:tr>
      <w:tr>
        <w:trPr>
          <w:trHeight w:val="206"/>
        </w:trPr>
        <w:tc>
          <w:tcPr>
            <w:tcW w:w="1160" w:type="dxa"/>
            <w:vAlign w:val="bottom"/>
          </w:tcPr>
          <w:p>
            <w:pPr>
              <w:ind w:left="220"/>
              <w:spacing w:after="0"/>
              <w:rPr>
                <w:sz w:val="20"/>
                <w:szCs w:val="20"/>
                <w:color w:val="auto"/>
              </w:rPr>
            </w:pPr>
            <w:r>
              <w:rPr>
                <w:rFonts w:ascii="Times New Roman" w:cs="Times New Roman" w:eastAsia="Times New Roman" w:hAnsi="Times New Roman"/>
                <w:sz w:val="15"/>
                <w:szCs w:val="15"/>
                <w:color w:val="0000FF"/>
              </w:rPr>
              <w:t>Item 16.</w:t>
            </w:r>
          </w:p>
        </w:tc>
        <w:tc>
          <w:tcPr>
            <w:tcW w:w="918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Form 10-K Summary</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46</w:t>
            </w:r>
          </w:p>
        </w:tc>
      </w:tr>
      <w:tr>
        <w:trPr>
          <w:trHeight w:val="206"/>
        </w:trPr>
        <w:tc>
          <w:tcPr>
            <w:tcW w:w="1160" w:type="dxa"/>
            <w:vAlign w:val="bottom"/>
          </w:tcPr>
          <w:p>
            <w:pPr>
              <w:ind w:left="220"/>
              <w:spacing w:after="0"/>
              <w:rPr>
                <w:sz w:val="20"/>
                <w:szCs w:val="20"/>
                <w:color w:val="auto"/>
              </w:rPr>
            </w:pPr>
            <w:r>
              <w:rPr>
                <w:rFonts w:ascii="Times New Roman" w:cs="Times New Roman" w:eastAsia="Times New Roman" w:hAnsi="Times New Roman"/>
                <w:sz w:val="15"/>
                <w:szCs w:val="15"/>
                <w:color w:val="0000FF"/>
              </w:rPr>
              <w:t>Signatures</w:t>
            </w:r>
          </w:p>
        </w:tc>
        <w:tc>
          <w:tcPr>
            <w:tcW w:w="91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365"/>
        </w:trPr>
        <w:tc>
          <w:tcPr>
            <w:tcW w:w="1160" w:type="dxa"/>
            <w:vAlign w:val="bottom"/>
            <w:tcBorders>
              <w:bottom w:val="single" w:sz="8" w:color="9A9A9A"/>
            </w:tcBorders>
          </w:tcPr>
          <w:p>
            <w:pPr>
              <w:spacing w:after="0"/>
              <w:rPr>
                <w:sz w:val="24"/>
                <w:szCs w:val="24"/>
                <w:color w:val="auto"/>
              </w:rPr>
            </w:pPr>
          </w:p>
        </w:tc>
        <w:tc>
          <w:tcPr>
            <w:tcW w:w="91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2"/>
          <w:szCs w:val="12"/>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Cautionary Note Regarding Forward-Looking Statements</w:t>
      </w:r>
    </w:p>
    <w:p>
      <w:pPr>
        <w:spacing w:after="0" w:line="122" w:lineRule="exact"/>
        <w:rPr>
          <w:sz w:val="20"/>
          <w:szCs w:val="20"/>
          <w:color w:val="auto"/>
        </w:rPr>
      </w:pPr>
    </w:p>
    <w:p>
      <w:pPr>
        <w:jc w:val="both"/>
        <w:ind w:firstLine="309"/>
        <w:spacing w:after="0" w:line="269" w:lineRule="auto"/>
        <w:rPr>
          <w:sz w:val="20"/>
          <w:szCs w:val="20"/>
          <w:color w:val="auto"/>
        </w:rPr>
      </w:pPr>
      <w:r>
        <w:rPr>
          <w:rFonts w:ascii="Times New Roman" w:cs="Times New Roman" w:eastAsia="Times New Roman" w:hAnsi="Times New Roman"/>
          <w:sz w:val="15"/>
          <w:szCs w:val="15"/>
          <w:color w:val="auto"/>
        </w:rPr>
        <w:t>This Annual Report on Form 10-K (this "Annual Report") contains forward-looking statements based on our current expectations, estimates and assumptions about future events. All statements other than statements of current or historical fact contained in this report, including statements regarding our future financial position, business strategy, budgets, projected costs and plans and objectives of management for future operations, are forward-looking statements. The words "projections," "believe," "continue," "drive," "estimate," "expect," "intend," "may," "plan," "will," "could," "would" and similar expressions are generally intended to identify forward-looking statements.</w:t>
      </w:r>
    </w:p>
    <w:p>
      <w:pPr>
        <w:spacing w:after="0" w:line="78" w:lineRule="exact"/>
        <w:rPr>
          <w:sz w:val="20"/>
          <w:szCs w:val="20"/>
          <w:color w:val="auto"/>
        </w:rPr>
      </w:pPr>
    </w:p>
    <w:p>
      <w:pPr>
        <w:jc w:val="both"/>
        <w:ind w:firstLine="309"/>
        <w:spacing w:after="0" w:line="270" w:lineRule="auto"/>
        <w:rPr>
          <w:sz w:val="20"/>
          <w:szCs w:val="20"/>
          <w:color w:val="auto"/>
        </w:rPr>
      </w:pPr>
      <w:r>
        <w:rPr>
          <w:rFonts w:ascii="Times New Roman" w:cs="Times New Roman" w:eastAsia="Times New Roman" w:hAnsi="Times New Roman"/>
          <w:sz w:val="15"/>
          <w:szCs w:val="15"/>
          <w:color w:val="auto"/>
        </w:rPr>
        <w:t>By their nature, forward-looking statements involve risks and uncertainties because they relate to events and depend on circumstances that may or may not occur in the future. We believe that these risks and uncertainties include, but are not limited to, those described in the "Risk Factors" section of this Annual Report, which include but are not limited to the following:</w:t>
      </w:r>
    </w:p>
    <w:p>
      <w:pPr>
        <w:spacing w:after="0" w:line="75" w:lineRule="exact"/>
        <w:rPr>
          <w:sz w:val="20"/>
          <w:szCs w:val="20"/>
          <w:color w:val="auto"/>
        </w:rPr>
      </w:pPr>
    </w:p>
    <w:p>
      <w:pPr>
        <w:ind w:left="620" w:hanging="307"/>
        <w:spacing w:after="0" w:line="289" w:lineRule="auto"/>
        <w:tabs>
          <w:tab w:leader="none" w:pos="609"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reductions in payments from government health care programs and private insurance payors, such as health maintenance organizations ("HMOs"), preferred provider organizations ("PPOs"), and other managed care organizations and employers;</w:t>
      </w:r>
    </w:p>
    <w:p>
      <w:pPr>
        <w:spacing w:after="0" w:line="61" w:lineRule="exact"/>
        <w:rPr>
          <w:rFonts w:ascii="Times New Roman" w:cs="Times New Roman" w:eastAsia="Times New Roman" w:hAnsi="Times New Roman"/>
          <w:sz w:val="15"/>
          <w:szCs w:val="15"/>
          <w:color w:val="auto"/>
        </w:rPr>
      </w:pPr>
    </w:p>
    <w:p>
      <w:pPr>
        <w:ind w:left="620" w:hanging="307"/>
        <w:spacing w:after="0"/>
        <w:tabs>
          <w:tab w:leader="none" w:pos="62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contract with private insurance payors;</w:t>
      </w:r>
    </w:p>
    <w:p>
      <w:pPr>
        <w:spacing w:after="0" w:line="111" w:lineRule="exact"/>
        <w:rPr>
          <w:rFonts w:ascii="Times New Roman" w:cs="Times New Roman" w:eastAsia="Times New Roman" w:hAnsi="Times New Roman"/>
          <w:sz w:val="15"/>
          <w:szCs w:val="15"/>
          <w:color w:val="auto"/>
        </w:rPr>
      </w:pPr>
    </w:p>
    <w:p>
      <w:pPr>
        <w:ind w:left="620" w:hanging="307"/>
        <w:spacing w:after="0"/>
        <w:tabs>
          <w:tab w:leader="none" w:pos="62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changes in our payor mix or surgical case mix;</w:t>
      </w:r>
    </w:p>
    <w:p>
      <w:pPr>
        <w:spacing w:after="0" w:line="111" w:lineRule="exact"/>
        <w:rPr>
          <w:rFonts w:ascii="Times New Roman" w:cs="Times New Roman" w:eastAsia="Times New Roman" w:hAnsi="Times New Roman"/>
          <w:sz w:val="15"/>
          <w:szCs w:val="15"/>
          <w:color w:val="auto"/>
        </w:rPr>
      </w:pPr>
    </w:p>
    <w:p>
      <w:pPr>
        <w:ind w:left="620" w:hanging="307"/>
        <w:spacing w:after="0"/>
        <w:tabs>
          <w:tab w:leader="none" w:pos="62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failure to maintain or develop relationships with physicians on beneficial or favorable terms, or at all;</w:t>
      </w:r>
    </w:p>
    <w:p>
      <w:pPr>
        <w:spacing w:after="0" w:line="124" w:lineRule="exact"/>
        <w:rPr>
          <w:rFonts w:ascii="Times New Roman" w:cs="Times New Roman" w:eastAsia="Times New Roman" w:hAnsi="Times New Roman"/>
          <w:sz w:val="15"/>
          <w:szCs w:val="15"/>
          <w:color w:val="auto"/>
        </w:rPr>
      </w:pPr>
    </w:p>
    <w:p>
      <w:pPr>
        <w:ind w:left="620" w:hanging="307"/>
        <w:spacing w:after="0"/>
        <w:tabs>
          <w:tab w:leader="none" w:pos="62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efforts to integrate operations of acquired businesses and surgical facilities, attract new physician partners, or acquire additional surgical facilities;</w:t>
      </w:r>
    </w:p>
    <w:p>
      <w:pPr>
        <w:spacing w:after="0" w:line="111" w:lineRule="exact"/>
        <w:rPr>
          <w:rFonts w:ascii="Times New Roman" w:cs="Times New Roman" w:eastAsia="Times New Roman" w:hAnsi="Times New Roman"/>
          <w:sz w:val="15"/>
          <w:szCs w:val="15"/>
          <w:color w:val="auto"/>
        </w:rPr>
      </w:pPr>
    </w:p>
    <w:p>
      <w:pPr>
        <w:ind w:left="620" w:hanging="307"/>
        <w:spacing w:after="0"/>
        <w:tabs>
          <w:tab w:leader="none" w:pos="62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supply chain issues, including shortages or quality control issues with surgery-related products, equipment and medical supplies;</w:t>
      </w:r>
    </w:p>
    <w:p>
      <w:pPr>
        <w:spacing w:after="0" w:line="111" w:lineRule="exact"/>
        <w:rPr>
          <w:rFonts w:ascii="Times New Roman" w:cs="Times New Roman" w:eastAsia="Times New Roman" w:hAnsi="Times New Roman"/>
          <w:sz w:val="15"/>
          <w:szCs w:val="15"/>
          <w:color w:val="auto"/>
        </w:rPr>
      </w:pPr>
    </w:p>
    <w:p>
      <w:pPr>
        <w:ind w:left="620" w:hanging="307"/>
        <w:spacing w:after="0"/>
        <w:tabs>
          <w:tab w:leader="none" w:pos="62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competition for physicians, nurses, strategic relationships, acquisitions and managed care contracts;</w:t>
      </w:r>
    </w:p>
    <w:p>
      <w:pPr>
        <w:spacing w:after="0" w:line="124" w:lineRule="exact"/>
        <w:rPr>
          <w:rFonts w:ascii="Times New Roman" w:cs="Times New Roman" w:eastAsia="Times New Roman" w:hAnsi="Times New Roman"/>
          <w:sz w:val="15"/>
          <w:szCs w:val="15"/>
          <w:color w:val="auto"/>
        </w:rPr>
      </w:pPr>
    </w:p>
    <w:p>
      <w:pPr>
        <w:ind w:left="620" w:hanging="307"/>
        <w:spacing w:after="0"/>
        <w:tabs>
          <w:tab w:leader="none" w:pos="62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attract and retain qualified health care professionals;</w:t>
      </w:r>
    </w:p>
    <w:p>
      <w:pPr>
        <w:spacing w:after="0" w:line="111" w:lineRule="exact"/>
        <w:rPr>
          <w:rFonts w:ascii="Times New Roman" w:cs="Times New Roman" w:eastAsia="Times New Roman" w:hAnsi="Times New Roman"/>
          <w:sz w:val="15"/>
          <w:szCs w:val="15"/>
          <w:color w:val="auto"/>
        </w:rPr>
      </w:pPr>
    </w:p>
    <w:p>
      <w:pPr>
        <w:ind w:left="620" w:hanging="307"/>
        <w:spacing w:after="0"/>
        <w:tabs>
          <w:tab w:leader="none" w:pos="62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manage material liabilities whether known or unknown incurred as a result of acquiring surgical facilities;</w:t>
      </w:r>
    </w:p>
    <w:p>
      <w:pPr>
        <w:spacing w:after="0" w:line="124" w:lineRule="exact"/>
        <w:rPr>
          <w:rFonts w:ascii="Times New Roman" w:cs="Times New Roman" w:eastAsia="Times New Roman" w:hAnsi="Times New Roman"/>
          <w:sz w:val="15"/>
          <w:szCs w:val="15"/>
          <w:color w:val="auto"/>
        </w:rPr>
      </w:pPr>
    </w:p>
    <w:p>
      <w:pPr>
        <w:ind w:left="620" w:hanging="307"/>
        <w:spacing w:after="0"/>
        <w:tabs>
          <w:tab w:leader="none" w:pos="62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impact that legislation and other health care public policy changes, and other regulatory actions or executive orders may have on our business;</w:t>
      </w:r>
    </w:p>
    <w:p>
      <w:pPr>
        <w:spacing w:after="0" w:line="111" w:lineRule="exact"/>
        <w:rPr>
          <w:rFonts w:ascii="Times New Roman" w:cs="Times New Roman" w:eastAsia="Times New Roman" w:hAnsi="Times New Roman"/>
          <w:sz w:val="15"/>
          <w:szCs w:val="15"/>
          <w:color w:val="auto"/>
        </w:rPr>
      </w:pPr>
    </w:p>
    <w:p>
      <w:pPr>
        <w:ind w:left="620" w:hanging="307"/>
        <w:spacing w:after="0"/>
        <w:tabs>
          <w:tab w:leader="none" w:pos="62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comply with current health care laws and regulations;</w:t>
      </w:r>
    </w:p>
    <w:p>
      <w:pPr>
        <w:spacing w:after="0" w:line="111" w:lineRule="exact"/>
        <w:rPr>
          <w:rFonts w:ascii="Times New Roman" w:cs="Times New Roman" w:eastAsia="Times New Roman" w:hAnsi="Times New Roman"/>
          <w:sz w:val="15"/>
          <w:szCs w:val="15"/>
          <w:color w:val="auto"/>
        </w:rPr>
      </w:pPr>
    </w:p>
    <w:p>
      <w:pPr>
        <w:ind w:left="620" w:hanging="307"/>
        <w:spacing w:after="0"/>
        <w:tabs>
          <w:tab w:leader="none" w:pos="62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outcome of legal and regulatory proceedings that have been or may be brought against us;</w:t>
      </w:r>
    </w:p>
    <w:p>
      <w:pPr>
        <w:spacing w:after="0" w:line="124" w:lineRule="exact"/>
        <w:rPr>
          <w:rFonts w:ascii="Times New Roman" w:cs="Times New Roman" w:eastAsia="Times New Roman" w:hAnsi="Times New Roman"/>
          <w:sz w:val="15"/>
          <w:szCs w:val="15"/>
          <w:color w:val="auto"/>
        </w:rPr>
      </w:pPr>
    </w:p>
    <w:p>
      <w:pPr>
        <w:ind w:left="620" w:hanging="307"/>
        <w:spacing w:after="0"/>
        <w:tabs>
          <w:tab w:leader="none" w:pos="62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impact of cybersecurity attacks or intrusions;</w:t>
      </w:r>
    </w:p>
    <w:p>
      <w:pPr>
        <w:spacing w:after="0" w:line="111" w:lineRule="exact"/>
        <w:rPr>
          <w:rFonts w:ascii="Times New Roman" w:cs="Times New Roman" w:eastAsia="Times New Roman" w:hAnsi="Times New Roman"/>
          <w:sz w:val="15"/>
          <w:szCs w:val="15"/>
          <w:color w:val="auto"/>
        </w:rPr>
      </w:pPr>
    </w:p>
    <w:p>
      <w:pPr>
        <w:ind w:left="620" w:hanging="307"/>
        <w:spacing w:after="0"/>
        <w:tabs>
          <w:tab w:leader="none" w:pos="62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changes in the regulatory, economic and other conditions of the states where our surgical facilities are located;</w:t>
      </w:r>
    </w:p>
    <w:p>
      <w:pPr>
        <w:spacing w:after="0" w:line="124" w:lineRule="exact"/>
        <w:rPr>
          <w:rFonts w:ascii="Times New Roman" w:cs="Times New Roman" w:eastAsia="Times New Roman" w:hAnsi="Times New Roman"/>
          <w:sz w:val="15"/>
          <w:szCs w:val="15"/>
          <w:color w:val="auto"/>
        </w:rPr>
      </w:pPr>
    </w:p>
    <w:p>
      <w:pPr>
        <w:ind w:left="620" w:hanging="307"/>
        <w:spacing w:after="0"/>
        <w:tabs>
          <w:tab w:leader="none" w:pos="62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indebtedness; and</w:t>
      </w:r>
    </w:p>
    <w:p>
      <w:pPr>
        <w:spacing w:after="0" w:line="111" w:lineRule="exact"/>
        <w:rPr>
          <w:rFonts w:ascii="Times New Roman" w:cs="Times New Roman" w:eastAsia="Times New Roman" w:hAnsi="Times New Roman"/>
          <w:sz w:val="15"/>
          <w:szCs w:val="15"/>
          <w:color w:val="auto"/>
        </w:rPr>
      </w:pPr>
    </w:p>
    <w:p>
      <w:pPr>
        <w:ind w:left="620" w:hanging="307"/>
        <w:spacing w:after="0"/>
        <w:tabs>
          <w:tab w:leader="none" w:pos="62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social and economic impact of a pandemic, epidemic or outbreak of a contagious disease on our business.</w:t>
      </w:r>
    </w:p>
    <w:p>
      <w:pPr>
        <w:spacing w:after="0" w:line="111" w:lineRule="exact"/>
        <w:rPr>
          <w:sz w:val="20"/>
          <w:szCs w:val="20"/>
          <w:color w:val="auto"/>
        </w:rPr>
      </w:pPr>
    </w:p>
    <w:p>
      <w:pPr>
        <w:jc w:val="both"/>
        <w:ind w:firstLine="309"/>
        <w:spacing w:after="0" w:line="271" w:lineRule="auto"/>
        <w:rPr>
          <w:sz w:val="20"/>
          <w:szCs w:val="20"/>
          <w:color w:val="auto"/>
        </w:rPr>
      </w:pPr>
      <w:r>
        <w:rPr>
          <w:rFonts w:ascii="Times New Roman" w:cs="Times New Roman" w:eastAsia="Times New Roman" w:hAnsi="Times New Roman"/>
          <w:sz w:val="15"/>
          <w:szCs w:val="15"/>
          <w:color w:val="auto"/>
        </w:rPr>
        <w:t>Although we have based these forward-looking statements on our current assumptions, expectations and projections about future events and financial trends that we believe may affect our financial condition, results of operations, business strategy and financial needs, we caution you that our actual results of operations, financial condition and liquidity, and the development of the industry in which we operate may differ materially from those made in or suggested by the forward-looking statements contained in this Annual Report. They can be affected by known or unknown risks, uncertainties and assumptions, including, among other things, the risks, uncertainties and assumptions described in Item 1A. "Risk Factors."</w:t>
      </w:r>
    </w:p>
    <w:p>
      <w:pPr>
        <w:spacing w:after="0" w:line="252" w:lineRule="exact"/>
        <w:rPr>
          <w:sz w:val="20"/>
          <w:szCs w:val="20"/>
          <w:color w:val="auto"/>
        </w:rPr>
      </w:pPr>
    </w:p>
    <w:p>
      <w:pPr>
        <w:jc w:val="both"/>
        <w:ind w:firstLine="309"/>
        <w:spacing w:after="0" w:line="279" w:lineRule="auto"/>
        <w:rPr>
          <w:sz w:val="20"/>
          <w:szCs w:val="20"/>
          <w:color w:val="auto"/>
        </w:rPr>
      </w:pPr>
      <w:r>
        <w:rPr>
          <w:rFonts w:ascii="Times New Roman" w:cs="Times New Roman" w:eastAsia="Times New Roman" w:hAnsi="Times New Roman"/>
          <w:sz w:val="15"/>
          <w:szCs w:val="15"/>
          <w:color w:val="auto"/>
        </w:rPr>
        <w:t>Any forward-looking statements and other information set forth in this Annual Report speak only as of the date made. Other than as required by law, we undertake no obligation to publicly update or revise any forward-looking statements, whether as a result of new information, future events or otherwise. You are advised, however, to consult any further disclosures we make on related subjects in our Quarterly Reports on Form 10-Q, Current Reports on Form 8-K, press releases, investor presentations and our website.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693420</wp:posOffset>
            </wp:positionV>
            <wp:extent cx="716407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2"/>
          <w:szCs w:val="12"/>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PART I</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1. Business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Overview</w:t>
      </w:r>
    </w:p>
    <w:p>
      <w:pPr>
        <w:spacing w:after="0" w:line="115" w:lineRule="exact"/>
        <w:rPr>
          <w:sz w:val="20"/>
          <w:szCs w:val="20"/>
          <w:color w:val="auto"/>
        </w:rPr>
      </w:pPr>
    </w:p>
    <w:p>
      <w:pPr>
        <w:jc w:val="both"/>
        <w:ind w:firstLine="309"/>
        <w:spacing w:after="0" w:line="307" w:lineRule="auto"/>
        <w:rPr>
          <w:sz w:val="20"/>
          <w:szCs w:val="20"/>
          <w:color w:val="auto"/>
        </w:rPr>
      </w:pPr>
      <w:r>
        <w:rPr>
          <w:rFonts w:ascii="Times New Roman" w:cs="Times New Roman" w:eastAsia="Times New Roman" w:hAnsi="Times New Roman"/>
          <w:sz w:val="15"/>
          <w:szCs w:val="15"/>
          <w:color w:val="auto"/>
        </w:rPr>
        <w:t>Surgery Partners, Inc., a Delaware corporation, acting through its subsidiaries, owns and operates a national network of surgical facilities and ancillary services. Unless the context otherwise indicates, Surgery Partners, Inc. and its subsidiaries are referred to herein as "Surgery Partners," "we," "us," "our" or the "Company."</w:t>
      </w:r>
    </w:p>
    <w:p>
      <w:pPr>
        <w:spacing w:after="0" w:line="36" w:lineRule="exact"/>
        <w:rPr>
          <w:sz w:val="20"/>
          <w:szCs w:val="20"/>
          <w:color w:val="auto"/>
        </w:rPr>
      </w:pPr>
    </w:p>
    <w:p>
      <w:pPr>
        <w:jc w:val="both"/>
        <w:ind w:firstLine="309"/>
        <w:spacing w:after="0" w:line="269" w:lineRule="auto"/>
        <w:rPr>
          <w:sz w:val="20"/>
          <w:szCs w:val="20"/>
          <w:color w:val="auto"/>
        </w:rPr>
      </w:pPr>
      <w:r>
        <w:rPr>
          <w:rFonts w:ascii="Times New Roman" w:cs="Times New Roman" w:eastAsia="Times New Roman" w:hAnsi="Times New Roman"/>
          <w:sz w:val="15"/>
          <w:szCs w:val="15"/>
          <w:color w:val="auto"/>
        </w:rPr>
        <w:t xml:space="preserve">We are a leading healthcare services company with an integrated outpatient delivery model focused on providing high-quality, cost-effective solutions for surgical and related ancillary care in support of both patients and physicians. We are one of the largest and fastest growing surgical services businesses in the United States ("U.S."), with more than </w:t>
      </w:r>
      <w:r>
        <w:rPr>
          <w:rFonts w:ascii="Times New Roman" w:cs="Times New Roman" w:eastAsia="Times New Roman" w:hAnsi="Times New Roman"/>
          <w:sz w:val="17"/>
          <w:szCs w:val="17"/>
          <w:color w:val="auto"/>
        </w:rPr>
        <w:t>200</w:t>
      </w:r>
      <w:r>
        <w:rPr>
          <w:rFonts w:ascii="Times New Roman" w:cs="Times New Roman" w:eastAsia="Times New Roman" w:hAnsi="Times New Roman"/>
          <w:sz w:val="15"/>
          <w:szCs w:val="15"/>
          <w:color w:val="auto"/>
        </w:rPr>
        <w:t xml:space="preserve"> locations in 30 states, including ambulatory surgery centers ("ASCs"), short-stay surgical hospitals ("surgical hospitals"), and multi-specialty physician practices, among others. Patient services provided in our ASCs and surgical hospitals (collectively, "surgical facilities" or "facilities") generated approximately $3.2 billion in revenue during 2025.</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Our Growth Strategies</w:t>
      </w:r>
    </w:p>
    <w:p>
      <w:pPr>
        <w:spacing w:after="0" w:line="12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Our differentiated operating model employs a multifaceted strategy to grow revenue, earnings and cash flow. We believe the following are key components to this strategy:</w:t>
      </w:r>
    </w:p>
    <w:p>
      <w:pPr>
        <w:spacing w:after="0" w:line="111" w:lineRule="exact"/>
        <w:rPr>
          <w:sz w:val="20"/>
          <w:szCs w:val="20"/>
          <w:color w:val="auto"/>
        </w:rPr>
      </w:pPr>
    </w:p>
    <w:p>
      <w:pPr>
        <w:ind w:left="920" w:hanging="298"/>
        <w:spacing w:after="0"/>
        <w:tabs>
          <w:tab w:leader="none" w:pos="92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Deliver outstanding patient care and clinical outcomes;</w:t>
      </w:r>
    </w:p>
    <w:p>
      <w:pPr>
        <w:spacing w:after="0" w:line="111" w:lineRule="exact"/>
        <w:rPr>
          <w:rFonts w:ascii="Times New Roman" w:cs="Times New Roman" w:eastAsia="Times New Roman" w:hAnsi="Times New Roman"/>
          <w:sz w:val="15"/>
          <w:szCs w:val="15"/>
          <w:color w:val="auto"/>
        </w:rPr>
      </w:pPr>
    </w:p>
    <w:p>
      <w:pPr>
        <w:ind w:left="920" w:hanging="298"/>
        <w:spacing w:after="0"/>
        <w:tabs>
          <w:tab w:leader="none" w:pos="92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Continue to execute and expand upon our physician engagement strategy in attractive markets;</w:t>
      </w:r>
    </w:p>
    <w:p>
      <w:pPr>
        <w:spacing w:after="0" w:line="124" w:lineRule="exact"/>
        <w:rPr>
          <w:rFonts w:ascii="Times New Roman" w:cs="Times New Roman" w:eastAsia="Times New Roman" w:hAnsi="Times New Roman"/>
          <w:sz w:val="15"/>
          <w:szCs w:val="15"/>
          <w:color w:val="auto"/>
        </w:rPr>
      </w:pPr>
    </w:p>
    <w:p>
      <w:pPr>
        <w:ind w:left="920" w:hanging="298"/>
        <w:spacing w:after="0"/>
        <w:tabs>
          <w:tab w:leader="none" w:pos="92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Become the partner of choice for physicians seeking to become or stay independent;</w:t>
      </w:r>
    </w:p>
    <w:p>
      <w:pPr>
        <w:spacing w:after="0" w:line="98" w:lineRule="exact"/>
        <w:rPr>
          <w:rFonts w:ascii="Times New Roman" w:cs="Times New Roman" w:eastAsia="Times New Roman" w:hAnsi="Times New Roman"/>
          <w:sz w:val="15"/>
          <w:szCs w:val="15"/>
          <w:color w:val="auto"/>
        </w:rPr>
      </w:pPr>
    </w:p>
    <w:p>
      <w:pPr>
        <w:ind w:left="920" w:hanging="298"/>
        <w:spacing w:after="0"/>
        <w:tabs>
          <w:tab w:leader="none" w:pos="92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Become the employer of choice by attracting, engaging, retaining, developing and promoting talent;</w:t>
      </w:r>
    </w:p>
    <w:p>
      <w:pPr>
        <w:spacing w:after="0" w:line="124" w:lineRule="exact"/>
        <w:rPr>
          <w:rFonts w:ascii="Times New Roman" w:cs="Times New Roman" w:eastAsia="Times New Roman" w:hAnsi="Times New Roman"/>
          <w:sz w:val="15"/>
          <w:szCs w:val="15"/>
          <w:color w:val="auto"/>
        </w:rPr>
      </w:pPr>
    </w:p>
    <w:p>
      <w:pPr>
        <w:ind w:left="920" w:hanging="298"/>
        <w:spacing w:after="0"/>
        <w:tabs>
          <w:tab w:leader="none" w:pos="92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Drive organic growth at existing facilities through targeted physician recruitment, service line expansion and implementing our efficient operating model;</w:t>
      </w:r>
    </w:p>
    <w:p>
      <w:pPr>
        <w:spacing w:after="0" w:line="111" w:lineRule="exact"/>
        <w:rPr>
          <w:rFonts w:ascii="Times New Roman" w:cs="Times New Roman" w:eastAsia="Times New Roman" w:hAnsi="Times New Roman"/>
          <w:sz w:val="15"/>
          <w:szCs w:val="15"/>
          <w:color w:val="auto"/>
        </w:rPr>
      </w:pPr>
    </w:p>
    <w:p>
      <w:pPr>
        <w:ind w:left="920" w:hanging="298"/>
        <w:spacing w:after="0"/>
        <w:tabs>
          <w:tab w:leader="none" w:pos="92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Seek partnership opportunities with payors to make health care more affordable for their members;</w:t>
      </w:r>
    </w:p>
    <w:p>
      <w:pPr>
        <w:spacing w:after="0" w:line="111" w:lineRule="exact"/>
        <w:rPr>
          <w:rFonts w:ascii="Times New Roman" w:cs="Times New Roman" w:eastAsia="Times New Roman" w:hAnsi="Times New Roman"/>
          <w:sz w:val="15"/>
          <w:szCs w:val="15"/>
          <w:color w:val="auto"/>
        </w:rPr>
      </w:pPr>
    </w:p>
    <w:p>
      <w:pPr>
        <w:ind w:left="920" w:hanging="298"/>
        <w:spacing w:after="0"/>
        <w:tabs>
          <w:tab w:leader="none" w:pos="92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Continue our disciplined acquisition strategy;</w:t>
      </w:r>
    </w:p>
    <w:p>
      <w:pPr>
        <w:spacing w:after="0" w:line="124" w:lineRule="exact"/>
        <w:rPr>
          <w:rFonts w:ascii="Times New Roman" w:cs="Times New Roman" w:eastAsia="Times New Roman" w:hAnsi="Times New Roman"/>
          <w:sz w:val="15"/>
          <w:szCs w:val="15"/>
          <w:color w:val="auto"/>
        </w:rPr>
      </w:pPr>
    </w:p>
    <w:p>
      <w:pPr>
        <w:ind w:left="920" w:hanging="298"/>
        <w:spacing w:after="0"/>
        <w:tabs>
          <w:tab w:leader="none" w:pos="92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Offer new services to provide a more comprehensive continuum of care; and</w:t>
      </w:r>
    </w:p>
    <w:p>
      <w:pPr>
        <w:spacing w:after="0" w:line="111" w:lineRule="exact"/>
        <w:rPr>
          <w:rFonts w:ascii="Times New Roman" w:cs="Times New Roman" w:eastAsia="Times New Roman" w:hAnsi="Times New Roman"/>
          <w:sz w:val="15"/>
          <w:szCs w:val="15"/>
          <w:color w:val="auto"/>
        </w:rPr>
      </w:pPr>
    </w:p>
    <w:p>
      <w:pPr>
        <w:ind w:left="920" w:hanging="298"/>
        <w:spacing w:after="0"/>
        <w:tabs>
          <w:tab w:leader="none" w:pos="92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Enhance operational efficiencies and productivity by delivering on integration;</w:t>
      </w:r>
    </w:p>
    <w:p>
      <w:pPr>
        <w:spacing w:after="0" w:line="111" w:lineRule="exact"/>
        <w:rPr>
          <w:rFonts w:ascii="Times New Roman" w:cs="Times New Roman" w:eastAsia="Times New Roman" w:hAnsi="Times New Roman"/>
          <w:sz w:val="15"/>
          <w:szCs w:val="15"/>
          <w:color w:val="auto"/>
        </w:rPr>
      </w:pPr>
    </w:p>
    <w:p>
      <w:pPr>
        <w:ind w:left="940" w:hanging="318"/>
        <w:spacing w:after="0" w:line="307" w:lineRule="auto"/>
        <w:tabs>
          <w:tab w:leader="none" w:pos="929"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Seek strategic relationship opportunities with health care systems looking to develop and/or enhance their ambulatory surgery footprint to better meet the needs of their patients and medical staff.</w:t>
      </w:r>
    </w:p>
    <w:p>
      <w:pPr>
        <w:spacing w:after="0" w:line="23" w:lineRule="exact"/>
        <w:rPr>
          <w:sz w:val="20"/>
          <w:szCs w:val="20"/>
          <w:color w:val="auto"/>
        </w:rPr>
      </w:pPr>
    </w:p>
    <w:p>
      <w:pPr>
        <w:jc w:val="both"/>
        <w:ind w:firstLine="309"/>
        <w:spacing w:after="0" w:line="289" w:lineRule="auto"/>
        <w:rPr>
          <w:sz w:val="20"/>
          <w:szCs w:val="20"/>
          <w:color w:val="auto"/>
        </w:rPr>
      </w:pPr>
      <w:r>
        <w:rPr>
          <w:rFonts w:ascii="Times New Roman" w:cs="Times New Roman" w:eastAsia="Times New Roman" w:hAnsi="Times New Roman"/>
          <w:sz w:val="15"/>
          <w:szCs w:val="15"/>
          <w:color w:val="auto"/>
        </w:rPr>
        <w:t>In addition, we believe favorable industry trends such as an aging population, advancements in medical technology and payor and government encouragement to move high acuity procedures from acute care to our lower cost sites of care will further drive growth.</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Total Addressable Market</w:t>
      </w:r>
    </w:p>
    <w:p>
      <w:pPr>
        <w:spacing w:after="0" w:line="115" w:lineRule="exact"/>
        <w:rPr>
          <w:sz w:val="20"/>
          <w:szCs w:val="20"/>
          <w:color w:val="auto"/>
        </w:rPr>
      </w:pPr>
    </w:p>
    <w:p>
      <w:pPr>
        <w:jc w:val="both"/>
        <w:ind w:firstLine="309"/>
        <w:spacing w:after="0" w:line="265" w:lineRule="auto"/>
        <w:rPr>
          <w:sz w:val="20"/>
          <w:szCs w:val="20"/>
          <w:color w:val="auto"/>
        </w:rPr>
      </w:pPr>
      <w:r>
        <w:rPr>
          <w:rFonts w:ascii="Times New Roman" w:cs="Times New Roman" w:eastAsia="Times New Roman" w:hAnsi="Times New Roman"/>
          <w:sz w:val="15"/>
          <w:szCs w:val="15"/>
          <w:color w:val="auto"/>
        </w:rPr>
        <w:t>Based on management estimates, we believe that the total U.S. outpatient surgical facility market represents greater than $90 billion in annual revenue, including greater than $55 billion of hospital outpatient department procedures and $45 billion of ambulatory surgical center procedures, and we believe that ASCs are capturing an increasing share of the total surgical procedure market. We estimate that as a result of this trend, total annual procedure volume is expected to grow over the next few years by approximately 2% in hospital outpatient departments and by approximately 6% in ASCs, while inpatient procedures will decline by approximately 2% during the same period. In addition, we believe that approximately $50 billion of inpatient surgical cases have the potential to move to outpatient surgery centers, which, together with procedures performed at hospital outpatient departments and ASCs, represents what we believe is a total addressable market of approximately $150 billion.</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Operations</w:t>
      </w:r>
    </w:p>
    <w:p>
      <w:pPr>
        <w:spacing w:after="0" w:line="115" w:lineRule="exact"/>
        <w:rPr>
          <w:sz w:val="20"/>
          <w:szCs w:val="20"/>
          <w:color w:val="auto"/>
        </w:rPr>
      </w:pPr>
    </w:p>
    <w:p>
      <w:pPr>
        <w:jc w:val="both"/>
        <w:ind w:firstLine="309"/>
        <w:spacing w:after="0" w:line="279" w:lineRule="auto"/>
        <w:rPr>
          <w:sz w:val="20"/>
          <w:szCs w:val="20"/>
          <w:color w:val="auto"/>
        </w:rPr>
      </w:pPr>
      <w:r>
        <w:rPr>
          <w:rFonts w:ascii="Times New Roman" w:cs="Times New Roman" w:eastAsia="Times New Roman" w:hAnsi="Times New Roman"/>
          <w:sz w:val="15"/>
          <w:szCs w:val="15"/>
          <w:color w:val="auto"/>
        </w:rPr>
        <w:t>During 2025 and 2024, we operated in one reportable segment, Surgical Facilities, which includes the operation of ASCs, surgical hospitals, anesthesia services, urgent care facilities and multi-specialty physician practices. Our surgical facilities primarily provide non-emergency surgical procedures across many specialties, including, among others, orthopedics and pain management, ophthalmology, gastroenterology ("GI") and general surgery.</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Surgical Facilities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Operations</w:t>
      </w:r>
    </w:p>
    <w:p>
      <w:pPr>
        <w:spacing w:after="0" w:line="102" w:lineRule="exact"/>
        <w:rPr>
          <w:sz w:val="20"/>
          <w:szCs w:val="20"/>
          <w:color w:val="auto"/>
        </w:rPr>
      </w:pPr>
    </w:p>
    <w:p>
      <w:pPr>
        <w:jc w:val="both"/>
        <w:ind w:firstLine="309"/>
        <w:spacing w:after="0" w:line="271" w:lineRule="auto"/>
        <w:rPr>
          <w:sz w:val="20"/>
          <w:szCs w:val="20"/>
          <w:color w:val="auto"/>
        </w:rPr>
      </w:pPr>
      <w:r>
        <w:rPr>
          <w:rFonts w:ascii="Times New Roman" w:cs="Times New Roman" w:eastAsia="Times New Roman" w:hAnsi="Times New Roman"/>
          <w:sz w:val="15"/>
          <w:szCs w:val="15"/>
          <w:color w:val="auto"/>
        </w:rPr>
        <w:t>As of December 31, 2025, we owned or operated 176 surgical facilities, including 157 ASCs and 19 licensed surgical hospitals. Our Surgical Facilities contributed substantially all of our total revenue in 2025, 2024 and 2023.</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2"/>
          <w:szCs w:val="12"/>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ind w:firstLine="309"/>
        <w:spacing w:after="0" w:line="279" w:lineRule="auto"/>
        <w:rPr>
          <w:sz w:val="20"/>
          <w:szCs w:val="20"/>
          <w:color w:val="auto"/>
        </w:rPr>
      </w:pPr>
      <w:r>
        <w:rPr>
          <w:rFonts w:ascii="Times New Roman" w:cs="Times New Roman" w:eastAsia="Times New Roman" w:hAnsi="Times New Roman"/>
          <w:sz w:val="15"/>
          <w:szCs w:val="15"/>
          <w:color w:val="auto"/>
        </w:rPr>
        <w:t>Our typical ASC is a free-standing facility that performs planned surgical procedures on an outpatient basis for patients not requiring hospitalization and for whom an overnight stay is not expected after surgery. Each ASC usually has one to seven operating or procedure rooms with areas for reception, pre-operative care, recovery and administration. The staff of our ASCs generally includes a center administrator, registered nurses, operating room technicians, as well as other administrative staff.</w:t>
      </w:r>
    </w:p>
    <w:p>
      <w:pPr>
        <w:spacing w:after="0" w:line="56" w:lineRule="exact"/>
        <w:rPr>
          <w:sz w:val="20"/>
          <w:szCs w:val="20"/>
          <w:color w:val="auto"/>
        </w:rPr>
      </w:pPr>
    </w:p>
    <w:p>
      <w:pPr>
        <w:jc w:val="both"/>
        <w:ind w:firstLine="309"/>
        <w:spacing w:after="0" w:line="279" w:lineRule="auto"/>
        <w:rPr>
          <w:sz w:val="20"/>
          <w:szCs w:val="20"/>
          <w:color w:val="auto"/>
        </w:rPr>
      </w:pPr>
      <w:r>
        <w:rPr>
          <w:rFonts w:ascii="Times New Roman" w:cs="Times New Roman" w:eastAsia="Times New Roman" w:hAnsi="Times New Roman"/>
          <w:sz w:val="15"/>
          <w:szCs w:val="15"/>
          <w:color w:val="auto"/>
        </w:rPr>
        <w:t>Our surgical hospitals primarily focus on providing non-emergency, scheduled surgical procedures, with a focus on less complex, elective surgeries that have shorter recovery times. Although some of these facilities may include emergency departments, they are generally not equipped to handle a broad spectrum of patient needs, including critical and traumatic injuries.</w:t>
      </w:r>
    </w:p>
    <w:p>
      <w:pPr>
        <w:spacing w:after="0" w:line="56" w:lineRule="exact"/>
        <w:rPr>
          <w:sz w:val="20"/>
          <w:szCs w:val="20"/>
          <w:color w:val="auto"/>
        </w:rPr>
      </w:pPr>
    </w:p>
    <w:p>
      <w:pPr>
        <w:jc w:val="both"/>
        <w:ind w:firstLine="309"/>
        <w:spacing w:after="0" w:line="279" w:lineRule="auto"/>
        <w:rPr>
          <w:sz w:val="20"/>
          <w:szCs w:val="20"/>
          <w:color w:val="auto"/>
        </w:rPr>
      </w:pPr>
      <w:r>
        <w:rPr>
          <w:rFonts w:ascii="Times New Roman" w:cs="Times New Roman" w:eastAsia="Times New Roman" w:hAnsi="Times New Roman"/>
          <w:sz w:val="15"/>
          <w:szCs w:val="15"/>
          <w:color w:val="auto"/>
        </w:rPr>
        <w:t>We operate both multi-specialty and single-specialty facilities. In multi-specialty facilities, a variety of surgical procedures are performed, including, among others, orthopedics and pain management, gastroenterology, ophthalmology, and general surgery. We have diversified the mix of procedures performed at our facilities by strategically introducing select specialties that will complement existing services. However, in many cases, we keep certain facilities as single-specialty where it suits an individual facility or market demand.</w:t>
      </w:r>
    </w:p>
    <w:p>
      <w:pPr>
        <w:spacing w:after="0" w:line="69" w:lineRule="exact"/>
        <w:rPr>
          <w:sz w:val="20"/>
          <w:szCs w:val="20"/>
          <w:color w:val="auto"/>
        </w:rPr>
      </w:pPr>
    </w:p>
    <w:p>
      <w:pPr>
        <w:jc w:val="both"/>
        <w:ind w:firstLine="309"/>
        <w:spacing w:after="0" w:line="289" w:lineRule="auto"/>
        <w:rPr>
          <w:sz w:val="20"/>
          <w:szCs w:val="20"/>
          <w:color w:val="auto"/>
        </w:rPr>
      </w:pPr>
      <w:r>
        <w:rPr>
          <w:rFonts w:ascii="Times New Roman" w:cs="Times New Roman" w:eastAsia="Times New Roman" w:hAnsi="Times New Roman"/>
          <w:sz w:val="15"/>
          <w:szCs w:val="15"/>
          <w:color w:val="auto"/>
        </w:rPr>
        <w:t>We provide each of our surgical facilities with a full range of financial, marketing and operating services. For example, our regional managed care directors assist the local management team at each of our surgical facilities in developing relationships with private insurance payors and negotiating private insurance contracts.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Ownership Structure</w:t>
      </w:r>
    </w:p>
    <w:p>
      <w:pPr>
        <w:spacing w:after="0" w:line="128" w:lineRule="exact"/>
        <w:rPr>
          <w:sz w:val="20"/>
          <w:szCs w:val="20"/>
          <w:color w:val="auto"/>
        </w:rPr>
      </w:pPr>
    </w:p>
    <w:p>
      <w:pPr>
        <w:jc w:val="both"/>
        <w:ind w:firstLine="309"/>
        <w:spacing w:after="0" w:line="265" w:lineRule="auto"/>
        <w:rPr>
          <w:sz w:val="20"/>
          <w:szCs w:val="20"/>
          <w:color w:val="auto"/>
        </w:rPr>
      </w:pPr>
      <w:r>
        <w:rPr>
          <w:rFonts w:ascii="Times New Roman" w:cs="Times New Roman" w:eastAsia="Times New Roman" w:hAnsi="Times New Roman"/>
          <w:sz w:val="15"/>
          <w:szCs w:val="15"/>
          <w:color w:val="auto"/>
        </w:rPr>
        <w:t>We own and operate our surgical facilities through partnerships or limited liability companies with physicians, physician groups and health care systems. In some instances, we acquire ownership in a surgical facility with the prior owners retaining ownership, and, in some cases, we offer new ownership to other physicians or health care systems. Of the 176 surgical facilities that were operational as of December 31, 2025, we hold majority ownership in 90 of these surgical facilities and consolidated 121 for financial reporting purposes. We provide day-to-day management services for a majority of our surgical facilities pursuant to a management agreement and receive a management fee that is typically equal to a percentage of the facility revenue. We also provide intercompany loans to some of the surgical facilities which often are secured by a pledge of assets of the facility.</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Strategic Relationships</w:t>
      </w:r>
    </w:p>
    <w:p>
      <w:pPr>
        <w:spacing w:after="0" w:line="115" w:lineRule="exact"/>
        <w:rPr>
          <w:sz w:val="20"/>
          <w:szCs w:val="20"/>
          <w:color w:val="auto"/>
        </w:rPr>
      </w:pPr>
    </w:p>
    <w:p>
      <w:pPr>
        <w:jc w:val="both"/>
        <w:ind w:firstLine="309"/>
        <w:spacing w:after="0" w:line="279" w:lineRule="auto"/>
        <w:rPr>
          <w:sz w:val="20"/>
          <w:szCs w:val="20"/>
          <w:color w:val="auto"/>
        </w:rPr>
      </w:pPr>
      <w:r>
        <w:rPr>
          <w:rFonts w:ascii="Times New Roman" w:cs="Times New Roman" w:eastAsia="Times New Roman" w:hAnsi="Times New Roman"/>
          <w:sz w:val="15"/>
          <w:szCs w:val="15"/>
          <w:color w:val="auto"/>
        </w:rPr>
        <w:t>When attractive opportunities arise, we may develop, acquire or operate surgical facilities through strategic relationships with payors, health care systems, and other health care providers. We believe that forming such strategic relationships can enhance our ability to attract physicians and access favorable private insurance contracts for our surgical facilities in that market.</w:t>
      </w:r>
    </w:p>
    <w:p>
      <w:pPr>
        <w:spacing w:after="0" w:line="56" w:lineRule="exact"/>
        <w:rPr>
          <w:sz w:val="20"/>
          <w:szCs w:val="20"/>
          <w:color w:val="auto"/>
        </w:rPr>
      </w:pPr>
    </w:p>
    <w:p>
      <w:pPr>
        <w:jc w:val="both"/>
        <w:ind w:firstLine="309"/>
        <w:spacing w:after="0" w:line="265" w:lineRule="auto"/>
        <w:rPr>
          <w:sz w:val="20"/>
          <w:szCs w:val="20"/>
          <w:color w:val="auto"/>
        </w:rPr>
      </w:pPr>
      <w:r>
        <w:rPr>
          <w:rFonts w:ascii="Times New Roman" w:cs="Times New Roman" w:eastAsia="Times New Roman" w:hAnsi="Times New Roman"/>
          <w:sz w:val="15"/>
          <w:szCs w:val="15"/>
          <w:color w:val="auto"/>
        </w:rPr>
        <w:t>The strategic relationships through which we own and operate surgical facilities are governed by partnership and operating agreements that generally are comparable to the partnership and operating agreements of the other surgical facilities in which we own an interest. The primary difference between the structure of these strategic relationships and the other surgical facilities in which we hold an equity interest is that, in these strategic relationships, a health care system holds ownership in the surgical facility in addition to physician investors. In each of these strategic relationships, we have also entered into a management agreement under which we provide day-to-day management services for a management fee equal to a percentage of the revenues of the surgical facility. The terms of those management agreements are comparable to the terms of our management agreements with other surgical facilities in which we own an equity interest.</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Sources of Revenue</w:t>
      </w:r>
    </w:p>
    <w:p>
      <w:pPr>
        <w:spacing w:after="0" w:line="115" w:lineRule="exact"/>
        <w:rPr>
          <w:sz w:val="20"/>
          <w:szCs w:val="20"/>
          <w:color w:val="auto"/>
        </w:rPr>
      </w:pPr>
    </w:p>
    <w:p>
      <w:pPr>
        <w:jc w:val="both"/>
        <w:ind w:firstLine="309"/>
        <w:spacing w:after="0" w:line="269" w:lineRule="auto"/>
        <w:rPr>
          <w:sz w:val="20"/>
          <w:szCs w:val="20"/>
          <w:color w:val="auto"/>
        </w:rPr>
      </w:pPr>
      <w:r>
        <w:rPr>
          <w:rFonts w:ascii="Times New Roman" w:cs="Times New Roman" w:eastAsia="Times New Roman" w:hAnsi="Times New Roman"/>
          <w:sz w:val="15"/>
          <w:szCs w:val="15"/>
          <w:color w:val="auto"/>
        </w:rPr>
        <w:t>Revenue from our consolidated surgical facilities is earned from facility fees related to health care services performed in our surgical facilities and is included in our patient service revenues. The fee charged for surgical services varies depending on the type of service provided, but usually includes all charges for usage of an operating room, a recovery room, special equipment, supplies, nursing staff and/or medications. Our fees do not typically include professional fees charged by the patient's surgeon, anesthesiologist or other attending physician, which are billed directly by such physicians. Management fees received from our non-consolidated surgical facilities for management services provided are included in other service revenues.</w:t>
      </w:r>
    </w:p>
    <w:p>
      <w:pPr>
        <w:spacing w:after="0" w:line="65" w:lineRule="exact"/>
        <w:rPr>
          <w:sz w:val="20"/>
          <w:szCs w:val="20"/>
          <w:color w:val="auto"/>
        </w:rPr>
      </w:pPr>
    </w:p>
    <w:p>
      <w:pPr>
        <w:jc w:val="both"/>
        <w:ind w:firstLine="309"/>
        <w:spacing w:after="0" w:line="279" w:lineRule="auto"/>
        <w:rPr>
          <w:sz w:val="20"/>
          <w:szCs w:val="20"/>
          <w:color w:val="auto"/>
        </w:rPr>
      </w:pPr>
      <w:r>
        <w:rPr>
          <w:rFonts w:ascii="Times New Roman" w:cs="Times New Roman" w:eastAsia="Times New Roman" w:hAnsi="Times New Roman"/>
          <w:sz w:val="15"/>
          <w:szCs w:val="15"/>
          <w:color w:val="auto"/>
        </w:rPr>
        <w:t>We are dependent upon government and private insurance sources of payment for the services we provide. The amounts that our surgical facilities receive in payment for their services may be adversely affected by market and cost factors as well as other factors over which we have no control, including Medicare, Medicaid and state regulations, cost containment and utilization decisions and reduced reimbursement schedules of private insurance payors.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2"/>
          <w:szCs w:val="12"/>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The following table sets forth the percentage of total patient service revenues for our consolidated surgical facilities by type of payor for the periods indicated:</w:t>
      </w:r>
    </w:p>
    <w:p>
      <w:pPr>
        <w:spacing w:after="0" w:line="137" w:lineRule="exact"/>
        <w:rPr>
          <w:sz w:val="20"/>
          <w:szCs w:val="20"/>
          <w:color w:val="auto"/>
        </w:rPr>
      </w:pPr>
    </w:p>
    <w:p>
      <w:pPr>
        <w:ind w:left="804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6380" w:type="dxa"/>
            <w:vAlign w:val="bottom"/>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520" w:type="dxa"/>
            <w:vAlign w:val="bottom"/>
            <w:tcBorders>
              <w:top w:val="single" w:sz="8" w:color="auto"/>
              <w:bottom w:val="single" w:sz="8" w:color="auto"/>
            </w:tcBorders>
          </w:tcPr>
          <w:p>
            <w:pPr>
              <w:jc w:val="right"/>
              <w:ind w:right="54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top w:val="single" w:sz="8" w:color="auto"/>
            </w:tcBorders>
          </w:tcPr>
          <w:p>
            <w:pPr>
              <w:spacing w:after="0"/>
              <w:rPr>
                <w:sz w:val="17"/>
                <w:szCs w:val="17"/>
                <w:color w:val="auto"/>
              </w:rPr>
            </w:pPr>
          </w:p>
        </w:tc>
        <w:tc>
          <w:tcPr>
            <w:tcW w:w="1540" w:type="dxa"/>
            <w:vAlign w:val="bottom"/>
            <w:tcBorders>
              <w:top w:val="single" w:sz="8" w:color="auto"/>
              <w:bottom w:val="single" w:sz="8" w:color="auto"/>
            </w:tcBorders>
          </w:tcPr>
          <w:p>
            <w:pPr>
              <w:jc w:val="right"/>
              <w:ind w:right="56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40"/>
        </w:trPr>
        <w:tc>
          <w:tcPr>
            <w:tcW w:w="63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tcPr>
          <w:p>
            <w:pPr>
              <w:spacing w:after="0"/>
              <w:rPr>
                <w:sz w:val="12"/>
                <w:szCs w:val="12"/>
                <w:color w:val="auto"/>
              </w:rPr>
            </w:pPr>
          </w:p>
        </w:tc>
      </w:tr>
      <w:tr>
        <w:trPr>
          <w:trHeight w:val="206"/>
        </w:trPr>
        <w:tc>
          <w:tcPr>
            <w:tcW w:w="7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Private Insurance</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52.3 %</w:t>
            </w:r>
          </w:p>
        </w:tc>
        <w:tc>
          <w:tcPr>
            <w:tcW w:w="14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53.5 %</w:t>
            </w: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52.5 %</w:t>
            </w:r>
          </w:p>
        </w:tc>
      </w:tr>
      <w:tr>
        <w:trPr>
          <w:trHeight w:val="203"/>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Government</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42.8 %</w:t>
            </w:r>
          </w:p>
        </w:tc>
        <w:tc>
          <w:tcPr>
            <w:tcW w:w="14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41.1 %</w:t>
            </w:r>
          </w:p>
        </w:tc>
        <w:tc>
          <w:tcPr>
            <w:tcW w:w="1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41.8 %</w:t>
            </w:r>
          </w:p>
        </w:tc>
      </w:tr>
      <w:tr>
        <w:trPr>
          <w:trHeight w:val="209"/>
        </w:trPr>
        <w:tc>
          <w:tcPr>
            <w:tcW w:w="7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Self-pay</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2.7 %</w:t>
            </w:r>
          </w:p>
        </w:tc>
        <w:tc>
          <w:tcPr>
            <w:tcW w:w="1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2.7 %</w:t>
            </w:r>
          </w:p>
        </w:tc>
        <w:tc>
          <w:tcPr>
            <w:tcW w:w="14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2.5 %</w:t>
            </w:r>
          </w:p>
        </w:tc>
      </w:tr>
      <w:tr>
        <w:trPr>
          <w:trHeight w:val="203"/>
        </w:trPr>
        <w:tc>
          <w:tcPr>
            <w:tcW w:w="6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Other</w:t>
            </w:r>
          </w:p>
        </w:tc>
        <w:tc>
          <w:tcPr>
            <w:tcW w:w="9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2.2 %</w:t>
            </w:r>
          </w:p>
        </w:tc>
        <w:tc>
          <w:tcPr>
            <w:tcW w:w="140" w:type="dxa"/>
            <w:vAlign w:val="bottom"/>
            <w:tcBorders>
              <w:bottom w:val="single" w:sz="8" w:color="CCEEFF"/>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2.7 %</w:t>
            </w:r>
          </w:p>
        </w:tc>
        <w:tc>
          <w:tcPr>
            <w:tcW w:w="140" w:type="dxa"/>
            <w:vAlign w:val="bottom"/>
            <w:tcBorders>
              <w:bottom w:val="single" w:sz="8" w:color="CCEEFF"/>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3.2 %</w:t>
            </w:r>
          </w:p>
        </w:tc>
      </w:tr>
      <w:tr>
        <w:trPr>
          <w:trHeight w:val="222"/>
        </w:trPr>
        <w:tc>
          <w:tcPr>
            <w:tcW w:w="7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Total patient service revenues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100.0 %</w:t>
            </w: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100.0 %</w:t>
            </w: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100.0 %</w:t>
            </w: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181" w:lineRule="exact"/>
        <w:rPr>
          <w:sz w:val="20"/>
          <w:szCs w:val="20"/>
          <w:color w:val="auto"/>
        </w:rPr>
      </w:pPr>
    </w:p>
    <w:p>
      <w:pPr>
        <w:jc w:val="both"/>
        <w:ind w:firstLine="309"/>
        <w:spacing w:after="0" w:line="289" w:lineRule="auto"/>
        <w:rPr>
          <w:sz w:val="20"/>
          <w:szCs w:val="20"/>
          <w:color w:val="auto"/>
        </w:rPr>
      </w:pPr>
      <w:r>
        <w:rPr>
          <w:rFonts w:ascii="Times New Roman" w:cs="Times New Roman" w:eastAsia="Times New Roman" w:hAnsi="Times New Roman"/>
          <w:sz w:val="15"/>
          <w:szCs w:val="15"/>
          <w:color w:val="auto"/>
        </w:rPr>
        <w:t>We receive reimbursement from Medicare for surgical services based on three different payment systems depending on the site of service: outpatient surgical services generally provided in our ASCs, hospital outpatient surgical services and hospital inpatient surgical services.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Medicare Reimbursement - Hospital Inpatient Services</w:t>
      </w:r>
    </w:p>
    <w:p>
      <w:pPr>
        <w:spacing w:after="0" w:line="128" w:lineRule="exact"/>
        <w:rPr>
          <w:sz w:val="20"/>
          <w:szCs w:val="20"/>
          <w:color w:val="auto"/>
        </w:rPr>
      </w:pPr>
    </w:p>
    <w:p>
      <w:pPr>
        <w:jc w:val="both"/>
        <w:ind w:firstLine="309"/>
        <w:spacing w:after="0" w:line="265" w:lineRule="auto"/>
        <w:rPr>
          <w:sz w:val="20"/>
          <w:szCs w:val="20"/>
          <w:color w:val="auto"/>
        </w:rPr>
      </w:pPr>
      <w:r>
        <w:rPr>
          <w:rFonts w:ascii="Times New Roman" w:cs="Times New Roman" w:eastAsia="Times New Roman" w:hAnsi="Times New Roman"/>
          <w:sz w:val="15"/>
          <w:szCs w:val="15"/>
          <w:color w:val="auto"/>
        </w:rPr>
        <w:t>Nineteen of our surgical facilities are licensed as hospitals. Most inpatient services provided by hospitals are reimbursed by Medicare under the inpatient prospective payment system ("IPPS"). Under the IPPS, a hospital receives a fixed amount for inpatient hospital services based on each patient's final assigned Medicare-severity diagnosis related group ("MS-DRG"). Each MS-DRG is assigned a payment rate that is prospectively set by the Centers for Medicare and Medicaid Services ("CMS") using national average resources used per case for treating a patient with a particular diagnosis. This assignment also affects the prospectively determined capital rate paid with each MS-DRG. MS-DRG and capital payments are adjusted by a predetermined geographic adjustment factor assigned to the geographic area in which the hospital is located. The index used to adjust the MS-DRG rates, known as the "hospital market basket index," gives consideration to the inflation experienced by hospitals in purchasing goods and services.</w:t>
      </w:r>
    </w:p>
    <w:p>
      <w:pPr>
        <w:spacing w:after="0" w:line="69" w:lineRule="exact"/>
        <w:rPr>
          <w:sz w:val="20"/>
          <w:szCs w:val="20"/>
          <w:color w:val="auto"/>
        </w:rPr>
      </w:pPr>
    </w:p>
    <w:p>
      <w:pPr>
        <w:jc w:val="both"/>
        <w:ind w:firstLine="309"/>
        <w:spacing w:after="0" w:line="265" w:lineRule="auto"/>
        <w:rPr>
          <w:sz w:val="20"/>
          <w:szCs w:val="20"/>
          <w:color w:val="auto"/>
        </w:rPr>
      </w:pPr>
      <w:r>
        <w:rPr>
          <w:rFonts w:ascii="Times New Roman" w:cs="Times New Roman" w:eastAsia="Times New Roman" w:hAnsi="Times New Roman"/>
          <w:sz w:val="15"/>
          <w:szCs w:val="15"/>
          <w:color w:val="auto"/>
        </w:rPr>
        <w:t>On August 8, 2025, CMS published the IPPS final rule for federal fiscal year ("FFY") 2026, which began on October 1, 2025. Under the FFY 2026 final rule, rates for inpatient stays in hospitals paid under the IPPS that successfully report certain quality data under the Hospital Inpatient Quality Reporting ("IQR") Program and demonstrate meaningful use of certified electronic health record ("EHR") technology will be increased by 2.6%. Those hospitals that do not successfully report quality data under the IQR Program (but are meaningful EHR users) would be subject to an approximate one-third reduction in their annual payment update. In addition to the IQR Program, hospitals will be subject to payment adjustments under the Value Based Purchasing Program, Readmissions Reduction Program and Hospital Acquired Conditions Reduction Programs that have been implemented by the Department of Health and Human Services ("HHS").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Medicare Reimbursement - Hospital Outpatient Departments</w:t>
      </w:r>
    </w:p>
    <w:p>
      <w:pPr>
        <w:spacing w:after="0" w:line="102" w:lineRule="exact"/>
        <w:rPr>
          <w:sz w:val="20"/>
          <w:szCs w:val="20"/>
          <w:color w:val="auto"/>
        </w:rPr>
      </w:pPr>
    </w:p>
    <w:p>
      <w:pPr>
        <w:jc w:val="both"/>
        <w:ind w:firstLine="309"/>
        <w:spacing w:after="0" w:line="251" w:lineRule="auto"/>
        <w:rPr>
          <w:sz w:val="20"/>
          <w:szCs w:val="20"/>
          <w:color w:val="auto"/>
        </w:rPr>
      </w:pPr>
      <w:r>
        <w:rPr>
          <w:rFonts w:ascii="Times New Roman" w:cs="Times New Roman" w:eastAsia="Times New Roman" w:hAnsi="Times New Roman"/>
          <w:sz w:val="15"/>
          <w:szCs w:val="15"/>
          <w:color w:val="auto"/>
        </w:rPr>
        <w:t>Surgical services that are provided in hospital outpatient departments ("HOPDs") generally are reimbursed by CMS using the Outpatient Prospective Payment System (the "OPPS"). The OPPS, established by the Secretary of HHS, determines payment amounts prospectively (generally the following calendar year) for various categories of medical services performed in HOPDs. On November 21, 2025, CMS published its OPPS final rule for 2026. The final rule provides for a payment rate increase of 2.6%. Hospitals that do not meet the reporting requirements of the Medicare Hospital Outpatient Quality Reporting Program will be subject to a 2.0% payment rate decrease.</w:t>
      </w:r>
    </w:p>
    <w:p>
      <w:pPr>
        <w:spacing w:after="0" w:line="91" w:lineRule="exact"/>
        <w:rPr>
          <w:sz w:val="20"/>
          <w:szCs w:val="20"/>
          <w:color w:val="auto"/>
        </w:rPr>
      </w:pPr>
    </w:p>
    <w:p>
      <w:pPr>
        <w:jc w:val="both"/>
        <w:ind w:firstLine="309"/>
        <w:spacing w:after="0" w:line="289" w:lineRule="auto"/>
        <w:rPr>
          <w:sz w:val="20"/>
          <w:szCs w:val="20"/>
          <w:color w:val="auto"/>
        </w:rPr>
      </w:pPr>
      <w:r>
        <w:rPr>
          <w:rFonts w:ascii="Times New Roman" w:cs="Times New Roman" w:eastAsia="Times New Roman" w:hAnsi="Times New Roman"/>
          <w:sz w:val="15"/>
          <w:szCs w:val="15"/>
          <w:color w:val="auto"/>
        </w:rPr>
        <w:t>Certain off-campus HOPDs are paid under the Medicare Physician Fee Schedule ("MPFS"), which typically results in lower reimbursements. Services provided in a dedicated emergency department are still paid under the OPPS.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Medicare Reimbursement - ASCs</w:t>
      </w:r>
    </w:p>
    <w:p>
      <w:pPr>
        <w:spacing w:after="0" w:line="128" w:lineRule="exact"/>
        <w:rPr>
          <w:sz w:val="20"/>
          <w:szCs w:val="20"/>
          <w:color w:val="auto"/>
        </w:rPr>
      </w:pPr>
    </w:p>
    <w:p>
      <w:pPr>
        <w:jc w:val="both"/>
        <w:ind w:firstLine="239"/>
        <w:spacing w:after="0" w:line="265" w:lineRule="auto"/>
        <w:rPr>
          <w:sz w:val="20"/>
          <w:szCs w:val="20"/>
          <w:color w:val="auto"/>
        </w:rPr>
      </w:pPr>
      <w:r>
        <w:rPr>
          <w:rFonts w:ascii="Times New Roman" w:cs="Times New Roman" w:eastAsia="Times New Roman" w:hAnsi="Times New Roman"/>
          <w:sz w:val="15"/>
          <w:szCs w:val="15"/>
          <w:color w:val="auto"/>
        </w:rPr>
        <w:t>Payments under the Medicare program to ASCs are also made based on the OPPS; however, the payment received from CMS is a percentage of the payment to HOPDs. Reimbursement rates for ASCs are updated annually based on changes in the consumer price index offset by multifactor productivity adjustments. Based on the OPPS Final Rule, ASC reimbursement rates will increase by 2.6% for 2025. CMS has established the Ambulatory Surgical Center for Quality Reporting ("ASCQR") Program as a pay-for-reporting, quality data program. Our ASCs that participate in the ASCQR Program receive the full annual update to the ASC payment rate. Those ASCs that do not successfully report quality data under the ASCQR Program may receive a payment reduction.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Annual Cost Reports</w:t>
      </w:r>
    </w:p>
    <w:p>
      <w:pPr>
        <w:spacing w:after="0" w:line="115" w:lineRule="exact"/>
        <w:rPr>
          <w:sz w:val="20"/>
          <w:szCs w:val="20"/>
          <w:color w:val="auto"/>
        </w:rPr>
      </w:pPr>
    </w:p>
    <w:p>
      <w:pPr>
        <w:jc w:val="both"/>
        <w:ind w:firstLine="309"/>
        <w:spacing w:after="0" w:line="265" w:lineRule="auto"/>
        <w:rPr>
          <w:sz w:val="20"/>
          <w:szCs w:val="20"/>
          <w:color w:val="auto"/>
        </w:rPr>
      </w:pPr>
      <w:r>
        <w:rPr>
          <w:rFonts w:ascii="Times New Roman" w:cs="Times New Roman" w:eastAsia="Times New Roman" w:hAnsi="Times New Roman"/>
          <w:sz w:val="15"/>
          <w:szCs w:val="15"/>
          <w:color w:val="auto"/>
        </w:rPr>
        <w:t>Hospitals participating in Medicare and Medicaid programs, whether paid on a reasonable cost basis or under a prospective payment system, may be required to meet certain financial reporting requirements. Federal and, where applicable, state regulations require submission of annual cost reports identifying medical costs and expenses associated with the services provided by each hospital to Medicare beneficiaries and Medicaid recipients. Annual cost reports required under the Medicare and Medicaid programs are subject to routine governmental audits. These audits may result in adjustments to the amounts ultimately determined to be payable to us under these reimbursement programs. Finalization of these audits often takes several years. Providers may appeal any final determination made in connection with an audit. While ASCs are not currently subject to federal cost reporting requirements, it is possible that such requirements, which could be costly for us, will be implemented by CMS in the future.</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2"/>
          <w:szCs w:val="12"/>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Acquisition and Development Programs</w:t>
      </w:r>
    </w:p>
    <w:p>
      <w:pPr>
        <w:spacing w:after="0" w:line="111" w:lineRule="exact"/>
        <w:rPr>
          <w:sz w:val="20"/>
          <w:szCs w:val="20"/>
          <w:color w:val="auto"/>
        </w:rPr>
      </w:pPr>
    </w:p>
    <w:p>
      <w:pPr>
        <w:jc w:val="both"/>
        <w:ind w:firstLine="309"/>
        <w:spacing w:after="0" w:line="270" w:lineRule="auto"/>
        <w:rPr>
          <w:sz w:val="20"/>
          <w:szCs w:val="20"/>
          <w:color w:val="auto"/>
        </w:rPr>
      </w:pPr>
      <w:r>
        <w:rPr>
          <w:rFonts w:ascii="Times New Roman" w:cs="Times New Roman" w:eastAsia="Times New Roman" w:hAnsi="Times New Roman"/>
          <w:sz w:val="15"/>
          <w:szCs w:val="15"/>
          <w:i w:val="1"/>
          <w:iCs w:val="1"/>
          <w:color w:val="auto"/>
        </w:rPr>
        <w:t xml:space="preserve">Acquisition Program. </w:t>
      </w:r>
      <w:r>
        <w:rPr>
          <w:rFonts w:ascii="Times New Roman" w:cs="Times New Roman" w:eastAsia="Times New Roman" w:hAnsi="Times New Roman"/>
          <w:sz w:val="15"/>
          <w:szCs w:val="15"/>
          <w:color w:val="auto"/>
        </w:rPr>
        <w:t>In addition to our operational strategy, we continuously evaluate opportunities to expand our presence in the surgical facility market by making strategic</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acquisitions of existing surgical facilities and by developing new surgical facilities in cooperation with local physician partners and, when appropriate, health care systems and other strategic partners. We generally structure our partnerships where either we are a majority owner partnered with physicians or we are a minority owner with potential buy-up opportunities. These buy-up opportunities in certain circumstances can give us the option to own a controlling interest at some point in the future. Alternatively, we may choose to pursue a strategic relationship with physicians and a health care system.</w:t>
      </w:r>
    </w:p>
    <w:p>
      <w:pPr>
        <w:spacing w:after="0" w:line="65" w:lineRule="exact"/>
        <w:rPr>
          <w:sz w:val="20"/>
          <w:szCs w:val="20"/>
          <w:color w:val="auto"/>
        </w:rPr>
      </w:pPr>
    </w:p>
    <w:p>
      <w:pPr>
        <w:jc w:val="both"/>
        <w:ind w:firstLine="309"/>
        <w:spacing w:after="0" w:line="269" w:lineRule="auto"/>
        <w:rPr>
          <w:sz w:val="20"/>
          <w:szCs w:val="20"/>
          <w:color w:val="auto"/>
        </w:rPr>
      </w:pPr>
      <w:r>
        <w:rPr>
          <w:rFonts w:ascii="Times New Roman" w:cs="Times New Roman" w:eastAsia="Times New Roman" w:hAnsi="Times New Roman"/>
          <w:sz w:val="15"/>
          <w:szCs w:val="15"/>
          <w:color w:val="auto"/>
        </w:rPr>
        <w:t>We employ a dedicated acquisition team with experience in health care services. Our team seeks to acquire surgical facilities that meet our criteria, including prominence and quality of physician partners, specialty mix, opportunities for growth, level of competition in the local market, level of private insurance penetration and our ability to access private insurance contracts. We carefully evaluate each of our acquisition opportunities through an extensive due diligence process to determine which facilities have the greatest potential for growth and profitability improvements under our operating structure. Our team may also identify opportunities to attract additional physicians to increase the acquired facility’s revenues and profitability.</w:t>
      </w:r>
    </w:p>
    <w:p>
      <w:pPr>
        <w:spacing w:after="0" w:line="61" w:lineRule="exact"/>
        <w:rPr>
          <w:sz w:val="20"/>
          <w:szCs w:val="20"/>
          <w:color w:val="auto"/>
        </w:rPr>
      </w:pPr>
    </w:p>
    <w:p>
      <w:pPr>
        <w:jc w:val="both"/>
        <w:ind w:firstLine="309"/>
        <w:spacing w:after="0" w:line="267" w:lineRule="auto"/>
        <w:rPr>
          <w:sz w:val="20"/>
          <w:szCs w:val="20"/>
          <w:color w:val="auto"/>
        </w:rPr>
      </w:pPr>
      <w:r>
        <w:rPr>
          <w:rFonts w:ascii="Times New Roman" w:cs="Times New Roman" w:eastAsia="Times New Roman" w:hAnsi="Times New Roman"/>
          <w:sz w:val="15"/>
          <w:szCs w:val="15"/>
          <w:i w:val="1"/>
          <w:iCs w:val="1"/>
          <w:color w:val="auto"/>
        </w:rPr>
        <w:t xml:space="preserve">Development Program. </w:t>
      </w:r>
      <w:r>
        <w:rPr>
          <w:rFonts w:ascii="Times New Roman" w:cs="Times New Roman" w:eastAsia="Times New Roman" w:hAnsi="Times New Roman"/>
          <w:sz w:val="15"/>
          <w:szCs w:val="15"/>
          <w:color w:val="auto"/>
        </w:rPr>
        <w:t>We develop surgical facilities in markets that we identify as having substantial interest by physicians and payors. We have experience in developing</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both single and multi-specialty surgical facilities. When we develop a new surgical facility, we generally provide all of the services necessary to complete the project. We offer in-house capabilities for structuring partnerships and financing facilities and work with architects and construction firms in the design and development of surgical facilities. Before and during the development phase of a new surgical facility, we analyze the competitive environment in the local market, review market data to identify appropriate services to provide, prepare and analyze financial forecasts, evaluate regulatory and licensing issues and assist in designing the surgical facility and identifying appropriate equipment to purchase or lease. After a surgical facility is developed, we typically provide general startup operational support, including information systems, equipment procurement and financing.</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Marketing</w:t>
      </w:r>
    </w:p>
    <w:p>
      <w:pPr>
        <w:spacing w:after="0" w:line="115" w:lineRule="exact"/>
        <w:rPr>
          <w:sz w:val="20"/>
          <w:szCs w:val="20"/>
          <w:color w:val="auto"/>
        </w:rPr>
      </w:pPr>
    </w:p>
    <w:p>
      <w:pPr>
        <w:jc w:val="both"/>
        <w:ind w:firstLine="309"/>
        <w:spacing w:after="0" w:line="264" w:lineRule="auto"/>
        <w:rPr>
          <w:sz w:val="20"/>
          <w:szCs w:val="20"/>
          <w:color w:val="auto"/>
        </w:rPr>
      </w:pPr>
      <w:r>
        <w:rPr>
          <w:rFonts w:ascii="Times New Roman" w:cs="Times New Roman" w:eastAsia="Times New Roman" w:hAnsi="Times New Roman"/>
          <w:sz w:val="15"/>
          <w:szCs w:val="15"/>
          <w:color w:val="auto"/>
        </w:rPr>
        <w:t>We primarily direct our sales and marketing efforts at physicians who would utilize our surgical facilities. Marketing activities directed at physicians and other health care providers are coordinated locally by the individual surgical facility and are supplemented by dedicated corporate personnel. These activities generally emphasize the benefits offered by our surgical facilities compared to other facilities in the market, such as the proximity of our surgical facilities to physicians’ offices, the ability to schedule consecutive cases without preemption by inpatient or emergency procedures, the efficient turnaround time between cases, our advanced surgical equipment and our simplified administrative procedures. Although the facility administrator is the primary point of contact, physicians who utilize our surgical facilities are important sources of recommendations to other physicians regarding the benefits of using our surgical facilities. Recruiting teams develop a target list of physicians, and we continually review our progress in successfully recruiting additional local physicians.</w:t>
      </w:r>
    </w:p>
    <w:p>
      <w:pPr>
        <w:spacing w:after="0" w:line="267" w:lineRule="exact"/>
        <w:rPr>
          <w:sz w:val="20"/>
          <w:szCs w:val="20"/>
          <w:color w:val="auto"/>
        </w:rPr>
      </w:pPr>
    </w:p>
    <w:p>
      <w:pPr>
        <w:jc w:val="both"/>
        <w:ind w:firstLine="309"/>
        <w:spacing w:after="0" w:line="279" w:lineRule="auto"/>
        <w:rPr>
          <w:sz w:val="20"/>
          <w:szCs w:val="20"/>
          <w:color w:val="auto"/>
        </w:rPr>
      </w:pPr>
      <w:r>
        <w:rPr>
          <w:rFonts w:ascii="Times New Roman" w:cs="Times New Roman" w:eastAsia="Times New Roman" w:hAnsi="Times New Roman"/>
          <w:sz w:val="15"/>
          <w:szCs w:val="15"/>
          <w:color w:val="auto"/>
        </w:rPr>
        <w:t>We also market our surgical facilities directly to private insurance payors via our contracting and credentialing programs. Payor marketing activities are conducted by our corporate managed care department team. We emphasize the high quality of surgical care, cost advantages over local competitors, and high patient satisfaction with our surgical facilities. We seek to include each surgical facility as a participating provider in national and local managed care plans.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Competition</w:t>
      </w:r>
    </w:p>
    <w:p>
      <w:pPr>
        <w:spacing w:after="0" w:line="115" w:lineRule="exact"/>
        <w:rPr>
          <w:sz w:val="20"/>
          <w:szCs w:val="20"/>
          <w:color w:val="auto"/>
        </w:rPr>
      </w:pPr>
    </w:p>
    <w:p>
      <w:pPr>
        <w:jc w:val="both"/>
        <w:ind w:firstLine="309"/>
        <w:spacing w:after="0" w:line="269" w:lineRule="auto"/>
        <w:rPr>
          <w:sz w:val="20"/>
          <w:szCs w:val="20"/>
          <w:color w:val="auto"/>
        </w:rPr>
      </w:pPr>
      <w:r>
        <w:rPr>
          <w:rFonts w:ascii="Times New Roman" w:cs="Times New Roman" w:eastAsia="Times New Roman" w:hAnsi="Times New Roman"/>
          <w:sz w:val="15"/>
          <w:szCs w:val="15"/>
          <w:color w:val="auto"/>
        </w:rPr>
        <w:t>In each market in which we operate a surgical facility, we compete with hospitals and operators of other surgical facilities to attract physicians and patients. We believe that the competitive factors that affect our surgical facilities’ ability to compete for physicians are convenience of location of the surgical facilities, quality of care offered, convenience of scheduling, professionalism and cleanliness of facilities, access to capital and participation in private insurance programs. In addition, we believe our national prominence, scale and reputation are instrumental in attracting physicians. We believe that our surgical facilities attract patients based upon our quality of care, the specialties and reputations of the physicians who operate in our surgical facilities, participation in managed care programs, ease of access and convenient scheduling and registration procedures.</w:t>
      </w:r>
    </w:p>
    <w:p>
      <w:pPr>
        <w:spacing w:after="0" w:line="65" w:lineRule="exact"/>
        <w:rPr>
          <w:sz w:val="20"/>
          <w:szCs w:val="20"/>
          <w:color w:val="auto"/>
        </w:rPr>
      </w:pPr>
    </w:p>
    <w:p>
      <w:pPr>
        <w:jc w:val="both"/>
        <w:ind w:firstLine="309"/>
        <w:spacing w:after="0" w:line="269" w:lineRule="auto"/>
        <w:rPr>
          <w:sz w:val="20"/>
          <w:szCs w:val="20"/>
          <w:color w:val="auto"/>
        </w:rPr>
      </w:pPr>
      <w:r>
        <w:rPr>
          <w:rFonts w:ascii="Times New Roman" w:cs="Times New Roman" w:eastAsia="Times New Roman" w:hAnsi="Times New Roman"/>
          <w:sz w:val="15"/>
          <w:szCs w:val="15"/>
          <w:color w:val="auto"/>
        </w:rPr>
        <w:t>In developing or acquiring existing surgical facilities, we compete with other public and private surgical facility and hospital companies. Several large national companies own and/or manage surgical facilities, in some cases in connection with other lines of business with which we do not compete, including HCA Healthcare, Inc., AMSURG Corp., Tenet Healthcare Corporation and Optum, Inc. We also face competition from local hospitals, physicians and other providers who may compete with us in the ownership and operation of surgical facilities, as well as the trend of physicians choosing to perform procedures in an office-based setting rather than in a surgical facility.</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Seasonality</w:t>
      </w:r>
    </w:p>
    <w:p>
      <w:pPr>
        <w:spacing w:after="0" w:line="115" w:lineRule="exact"/>
        <w:rPr>
          <w:sz w:val="20"/>
          <w:szCs w:val="20"/>
          <w:color w:val="auto"/>
        </w:rPr>
      </w:pPr>
    </w:p>
    <w:p>
      <w:pPr>
        <w:jc w:val="both"/>
        <w:ind w:firstLine="309"/>
        <w:spacing w:after="0" w:line="279" w:lineRule="auto"/>
        <w:rPr>
          <w:sz w:val="20"/>
          <w:szCs w:val="20"/>
          <w:color w:val="auto"/>
        </w:rPr>
      </w:pPr>
      <w:r>
        <w:rPr>
          <w:rFonts w:ascii="Times New Roman" w:cs="Times New Roman" w:eastAsia="Times New Roman" w:hAnsi="Times New Roman"/>
          <w:sz w:val="15"/>
          <w:szCs w:val="15"/>
          <w:color w:val="auto"/>
        </w:rPr>
        <w:t>Our revenue fluctuates based on the number of business days in each calendar quarter, because the majority of services provided by physicians in our surgical facilities consist of scheduled procedures and office visits that occur during weekday business hours. In addition, revenue in the fourth quarter could also be impacted by an increased utilization of services due to annual deductibles which are not usually met until later in the year and also as patients utilize their health care benefits before they expire at year-end.</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2"/>
          <w:szCs w:val="12"/>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Human Capital Resources</w:t>
      </w:r>
    </w:p>
    <w:p>
      <w:pPr>
        <w:spacing w:after="0" w:line="115" w:lineRule="exact"/>
        <w:rPr>
          <w:sz w:val="20"/>
          <w:szCs w:val="20"/>
          <w:color w:val="auto"/>
        </w:rPr>
      </w:pPr>
    </w:p>
    <w:p>
      <w:pPr>
        <w:jc w:val="both"/>
        <w:ind w:firstLine="309"/>
        <w:spacing w:after="0" w:line="279" w:lineRule="auto"/>
        <w:rPr>
          <w:sz w:val="20"/>
          <w:szCs w:val="20"/>
          <w:color w:val="auto"/>
        </w:rPr>
      </w:pPr>
      <w:r>
        <w:rPr>
          <w:rFonts w:ascii="Times New Roman" w:cs="Times New Roman" w:eastAsia="Times New Roman" w:hAnsi="Times New Roman"/>
          <w:sz w:val="15"/>
          <w:szCs w:val="15"/>
          <w:color w:val="auto"/>
        </w:rPr>
        <w:t>At December 31, 2025, we had approximately 16,000 employees, including full-time and part-time employees. None of our employees are represented by a collective bargaining agreement. Our mission is to enhance patient quality of life through partnership. We appreciate that our colleagues are key to creating value and believe that we have a good relationship with them. We are subject to various state and federal laws that regulate wages, hours, benefits and other terms and conditions relating to employment.</w:t>
      </w:r>
    </w:p>
    <w:p>
      <w:pPr>
        <w:spacing w:after="0" w:line="69" w:lineRule="exact"/>
        <w:rPr>
          <w:sz w:val="20"/>
          <w:szCs w:val="20"/>
          <w:color w:val="auto"/>
        </w:rPr>
      </w:pPr>
    </w:p>
    <w:p>
      <w:pPr>
        <w:jc w:val="both"/>
        <w:ind w:firstLine="309"/>
        <w:spacing w:after="0" w:line="269" w:lineRule="auto"/>
        <w:rPr>
          <w:sz w:val="20"/>
          <w:szCs w:val="20"/>
          <w:color w:val="auto"/>
        </w:rPr>
      </w:pPr>
      <w:r>
        <w:rPr>
          <w:rFonts w:ascii="Times New Roman" w:cs="Times New Roman" w:eastAsia="Times New Roman" w:hAnsi="Times New Roman"/>
          <w:sz w:val="15"/>
          <w:szCs w:val="15"/>
          <w:color w:val="auto"/>
        </w:rPr>
        <w:t>We have established, and continue to enhance and refine, a comprehensive set of practices for engaging, recruiting, developing, managing and optimizing the human resources of our organization. In general, we seek to attract, develop and retain an engaged workforce and improve talent management processes accordingly. We offer a competitive range of compensation and benefit programs. We also are committed to the health and safety of our patients, employees, and medical staff. Our code of conduct promotes integrity, accountability and transparency, among other high ethical standards and a focus on employee welfare.</w:t>
      </w:r>
    </w:p>
    <w:p>
      <w:pPr>
        <w:spacing w:after="0" w:line="65" w:lineRule="exact"/>
        <w:rPr>
          <w:sz w:val="20"/>
          <w:szCs w:val="20"/>
          <w:color w:val="auto"/>
        </w:rPr>
      </w:pPr>
    </w:p>
    <w:p>
      <w:pPr>
        <w:jc w:val="both"/>
        <w:ind w:firstLine="309"/>
        <w:spacing w:after="0" w:line="263" w:lineRule="auto"/>
        <w:rPr>
          <w:sz w:val="20"/>
          <w:szCs w:val="20"/>
          <w:color w:val="auto"/>
        </w:rPr>
      </w:pPr>
      <w:r>
        <w:rPr>
          <w:rFonts w:ascii="Times New Roman" w:cs="Times New Roman" w:eastAsia="Times New Roman" w:hAnsi="Times New Roman"/>
          <w:sz w:val="15"/>
          <w:szCs w:val="15"/>
          <w:color w:val="auto"/>
        </w:rPr>
        <w:t>Our surgical facilities are staffed by licensed physicians, and our operations are dependent on the efforts, abilities and experience of our physicians and clinical personnel. We generally do not enter into contracts with physicians who use our surgical facilities, other than partnership and operating agreements with physicians who own interests in our surgical facilities, agreements for anesthesiology services and medical director agreements. Most physicians are not employees of our surgical facilities and are not contractually required to use our facilities. Physicians who use our surgical facilities also use other facilities or hospitals and may choose to perform procedures in an office-based setting that might otherwise be performed at our surgical facilities. We compete with other health care providers, primarily hospitals and other surgical facilities, in attracting physicians to utilize our surgical facilities, nurses and medical staff to support our surgical facilities, recruiting and retaining qualified management and support personnel responsible for the daily operations of each of our facilities.</w:t>
      </w:r>
    </w:p>
    <w:p>
      <w:pPr>
        <w:spacing w:after="0" w:line="82" w:lineRule="exact"/>
        <w:rPr>
          <w:sz w:val="20"/>
          <w:szCs w:val="20"/>
          <w:color w:val="auto"/>
        </w:rPr>
      </w:pPr>
    </w:p>
    <w:p>
      <w:pPr>
        <w:jc w:val="both"/>
        <w:ind w:firstLine="309"/>
        <w:spacing w:after="0" w:line="265" w:lineRule="auto"/>
        <w:rPr>
          <w:sz w:val="20"/>
          <w:szCs w:val="20"/>
          <w:color w:val="auto"/>
        </w:rPr>
      </w:pPr>
      <w:r>
        <w:rPr>
          <w:rFonts w:ascii="Times New Roman" w:cs="Times New Roman" w:eastAsia="Times New Roman" w:hAnsi="Times New Roman"/>
          <w:sz w:val="15"/>
          <w:szCs w:val="15"/>
          <w:color w:val="auto"/>
        </w:rPr>
        <w:t>Our surgical facilities, like most healthcare providers, have experienced rising labor costs. In several markets, nurse and medical support personnel availability has become a significant operating issue to healthcare providers. To address this challenge, we have implemented several initiatives to improve engagement, retention, recruiting, compensation programs and productivity. We may be required to continue to enhance wages and benefits to recruit and retain nurses and other medical support personnel or to hire more expensive temporary or contract personnel. As a result, our labor costs could continue to increase. We also depend on the available labor pool of semi-skilled and unskilled employees in each of the markets in which we operate.</w:t>
      </w:r>
    </w:p>
    <w:p>
      <w:pPr>
        <w:spacing w:after="0" w:line="79" w:lineRule="exact"/>
        <w:rPr>
          <w:sz w:val="20"/>
          <w:szCs w:val="20"/>
          <w:color w:val="auto"/>
        </w:rPr>
      </w:pPr>
    </w:p>
    <w:p>
      <w:pPr>
        <w:jc w:val="both"/>
        <w:ind w:firstLine="309"/>
        <w:spacing w:after="0" w:line="269" w:lineRule="auto"/>
        <w:rPr>
          <w:sz w:val="20"/>
          <w:szCs w:val="20"/>
          <w:color w:val="auto"/>
        </w:rPr>
      </w:pPr>
      <w:r>
        <w:rPr>
          <w:rFonts w:ascii="Times New Roman" w:cs="Times New Roman" w:eastAsia="Times New Roman" w:hAnsi="Times New Roman"/>
          <w:sz w:val="15"/>
          <w:szCs w:val="15"/>
          <w:color w:val="auto"/>
        </w:rPr>
        <w:t>We believe our colleagues are vital contributors to our success. We devote significant resources to attract, develop, retain and accelerate our workforce. We strive to live all our values, including demonstrating compassion and kindness in all that we do. We are committed to promoting an inclusive and kind culture through diversity of thoughts and backgrounds, recognizing the value these experiences bring to our colleagues, physicians, patients and communities. We believe this creates an engaged workforce that feels a sense of belonging in the wonderful work they carry out for patients and communities alongside colleagues and providers.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Environmental</w:t>
      </w:r>
    </w:p>
    <w:p>
      <w:pPr>
        <w:spacing w:after="0" w:line="128" w:lineRule="exact"/>
        <w:rPr>
          <w:sz w:val="20"/>
          <w:szCs w:val="20"/>
          <w:color w:val="auto"/>
        </w:rPr>
      </w:pPr>
    </w:p>
    <w:p>
      <w:pPr>
        <w:jc w:val="both"/>
        <w:ind w:firstLine="309"/>
        <w:spacing w:after="0" w:line="264" w:lineRule="auto"/>
        <w:rPr>
          <w:sz w:val="20"/>
          <w:szCs w:val="20"/>
          <w:color w:val="auto"/>
        </w:rPr>
      </w:pPr>
      <w:r>
        <w:rPr>
          <w:rFonts w:ascii="Times New Roman" w:cs="Times New Roman" w:eastAsia="Times New Roman" w:hAnsi="Times New Roman"/>
          <w:sz w:val="15"/>
          <w:szCs w:val="15"/>
          <w:color w:val="auto"/>
        </w:rPr>
        <w:t>We are subject to various federal, state and local laws and regulations relating to the protection of the environment and human health and safety, including those governing the management and disposal of hazardous substances and wastes, the cleanup of contaminated sites and the maintenance of a safe workplace. Our operations include the use, generation and disposal of hazardous materials. We may, in the future, incur liability under environmental statutes and regulations with respect to contamination of sites we own or operate (including contamination caused by prior owners or operators of such sites, adjoining properties or other persons) and the off-site disposal of hazardous substances. We believe that we have been and are in substantial compliance with the terms of all applicable environmental laws and regulations and that we have no liabilities under environmental requirements that we would expect to have a material adverse effect on our business, results of operations or financial condition (including our capital expenditures, earnings and competitive position).</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Insurance</w:t>
      </w:r>
    </w:p>
    <w:p>
      <w:pPr>
        <w:spacing w:after="0" w:line="115" w:lineRule="exact"/>
        <w:rPr>
          <w:sz w:val="20"/>
          <w:szCs w:val="20"/>
          <w:color w:val="auto"/>
        </w:rPr>
      </w:pPr>
    </w:p>
    <w:p>
      <w:pPr>
        <w:jc w:val="both"/>
        <w:ind w:firstLine="309"/>
        <w:spacing w:after="0" w:line="273" w:lineRule="auto"/>
        <w:rPr>
          <w:sz w:val="20"/>
          <w:szCs w:val="20"/>
          <w:color w:val="auto"/>
        </w:rPr>
      </w:pPr>
      <w:r>
        <w:rPr>
          <w:rFonts w:ascii="Times New Roman" w:cs="Times New Roman" w:eastAsia="Times New Roman" w:hAnsi="Times New Roman"/>
          <w:sz w:val="15"/>
          <w:szCs w:val="15"/>
          <w:color w:val="auto"/>
        </w:rPr>
        <w:t>We maintain liability insurance in amounts that we believe are appropriate for our operations. Currently, we maintain professional, general and workers' compensation liability insurance in excess of self-insured retentions through third party commercial insurance carriers. We also maintain cyber insurance, business interruption insurance and property damage insurance. Coverage under certain of these policies is contingent upon the policy being in effect when a claim is made regardless of when the events which caused the claim occurred.</w:t>
      </w:r>
    </w:p>
    <w:p>
      <w:pPr>
        <w:spacing w:after="0" w:line="249" w:lineRule="exact"/>
        <w:rPr>
          <w:sz w:val="20"/>
          <w:szCs w:val="20"/>
          <w:color w:val="auto"/>
        </w:rPr>
      </w:pPr>
    </w:p>
    <w:p>
      <w:pPr>
        <w:jc w:val="both"/>
        <w:ind w:firstLine="309"/>
        <w:spacing w:after="0" w:line="279" w:lineRule="auto"/>
        <w:rPr>
          <w:sz w:val="20"/>
          <w:szCs w:val="20"/>
          <w:color w:val="auto"/>
        </w:rPr>
      </w:pPr>
      <w:r>
        <w:rPr>
          <w:rFonts w:ascii="Times New Roman" w:cs="Times New Roman" w:eastAsia="Times New Roman" w:hAnsi="Times New Roman"/>
          <w:sz w:val="15"/>
          <w:szCs w:val="15"/>
          <w:color w:val="auto"/>
        </w:rPr>
        <w:t>In addition, physicians who provide professional services in our surgical facilities are required to maintain separate malpractice coverage with defined minimum coverage limits. While we believe that our insurance policies are adequate in amount and coverage for our operations, we make no assurances that the insurance coverage is sufficient to cover all future claims or will continue to be available in adequate amounts or at a reasonable cost.</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Private Insurance Payors</w:t>
      </w:r>
    </w:p>
    <w:p>
      <w:pPr>
        <w:spacing w:after="0" w:line="115" w:lineRule="exact"/>
        <w:rPr>
          <w:sz w:val="20"/>
          <w:szCs w:val="20"/>
          <w:color w:val="auto"/>
        </w:rPr>
      </w:pPr>
    </w:p>
    <w:p>
      <w:pPr>
        <w:jc w:val="both"/>
        <w:ind w:firstLine="309"/>
        <w:spacing w:after="0" w:line="269" w:lineRule="auto"/>
        <w:rPr>
          <w:sz w:val="20"/>
          <w:szCs w:val="20"/>
          <w:color w:val="auto"/>
        </w:rPr>
      </w:pPr>
      <w:r>
        <w:rPr>
          <w:rFonts w:ascii="Times New Roman" w:cs="Times New Roman" w:eastAsia="Times New Roman" w:hAnsi="Times New Roman"/>
          <w:sz w:val="15"/>
          <w:szCs w:val="15"/>
          <w:color w:val="auto"/>
        </w:rPr>
        <w:t>Most group health third-party payors reimburse us for services pursuant to written contracts. These contracts generally require that we offer discounts from our established charges. In rare cases our payments come from private insurance payors with which we do not have written contracts. In those situations, commonly known as "out-of-network" services, we generally charge the patients the same co-payment or other patient responsibility amounts that we would have charged had we had a contract with the private insurance payor. We also submit a claim for the services to the private insurance payor along with full disclosure that we have charged the patient an in-network patient responsibility amount.</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2"/>
          <w:szCs w:val="12"/>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Governmental Regulation</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General</w:t>
      </w:r>
    </w:p>
    <w:p>
      <w:pPr>
        <w:spacing w:after="0" w:line="128" w:lineRule="exact"/>
        <w:rPr>
          <w:sz w:val="20"/>
          <w:szCs w:val="20"/>
          <w:color w:val="auto"/>
        </w:rPr>
      </w:pPr>
    </w:p>
    <w:p>
      <w:pPr>
        <w:jc w:val="both"/>
        <w:ind w:firstLine="309"/>
        <w:spacing w:after="0" w:line="279" w:lineRule="auto"/>
        <w:rPr>
          <w:sz w:val="20"/>
          <w:szCs w:val="20"/>
          <w:color w:val="auto"/>
        </w:rPr>
      </w:pPr>
      <w:r>
        <w:rPr>
          <w:rFonts w:ascii="Times New Roman" w:cs="Times New Roman" w:eastAsia="Times New Roman" w:hAnsi="Times New Roman"/>
          <w:sz w:val="15"/>
          <w:szCs w:val="15"/>
          <w:color w:val="auto"/>
        </w:rPr>
        <w:t>We are subject to federal, state and local laws dealing with issues such as occupational safety, employment, medical leave, insurance regulations, civil rights, discrimination, building codes, medical waste and other environmental issues. Federal, state and local governments are expanding the regulatory requirements on businesses like ours. The imposition of these regulatory requirements may have the effect of increasing operating costs and reducing the profitability of our operations.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Certificates of Need, Licensure and Accreditation</w:t>
      </w:r>
    </w:p>
    <w:p>
      <w:pPr>
        <w:spacing w:after="0" w:line="115" w:lineRule="exact"/>
        <w:rPr>
          <w:sz w:val="20"/>
          <w:szCs w:val="20"/>
          <w:color w:val="auto"/>
        </w:rPr>
      </w:pPr>
    </w:p>
    <w:p>
      <w:pPr>
        <w:jc w:val="both"/>
        <w:ind w:firstLine="309"/>
        <w:spacing w:after="0" w:line="265" w:lineRule="auto"/>
        <w:rPr>
          <w:sz w:val="20"/>
          <w:szCs w:val="20"/>
          <w:color w:val="auto"/>
        </w:rPr>
      </w:pPr>
      <w:r>
        <w:rPr>
          <w:rFonts w:ascii="Times New Roman" w:cs="Times New Roman" w:eastAsia="Times New Roman" w:hAnsi="Times New Roman"/>
          <w:sz w:val="15"/>
          <w:szCs w:val="15"/>
          <w:color w:val="auto"/>
        </w:rPr>
        <w:t>Capital expenditures for the construction of new health care facilities, the addition of beds, new health care services or the acquisition of existing health care facilities may be reviewable by state regulators under statutory programs that are sometimes referred to as certificate of need laws. States with certificate of need laws restrict or otherwise require prior authorization for the construction and acquisition of health care facilities and the expansion of existing facilities and services. In these states, approvals, generally known as certificates of need, are required for capital expenditures exceeding certain preset monetary thresholds for the development, acquisition and/or expansion of certain facilities or services, including, in certain of these states, surgical facilities. Certificate of need laws are being challenged in many states across the country and any future changes could have positive and negative impacts on our business. We currently operate in 21 states that have certificate of need laws.</w:t>
      </w:r>
    </w:p>
    <w:p>
      <w:pPr>
        <w:spacing w:after="0" w:line="82" w:lineRule="exact"/>
        <w:rPr>
          <w:sz w:val="20"/>
          <w:szCs w:val="20"/>
          <w:color w:val="auto"/>
        </w:rPr>
      </w:pPr>
    </w:p>
    <w:p>
      <w:pPr>
        <w:jc w:val="both"/>
        <w:ind w:firstLine="309"/>
        <w:spacing w:after="0" w:line="269" w:lineRule="auto"/>
        <w:rPr>
          <w:sz w:val="20"/>
          <w:szCs w:val="20"/>
          <w:color w:val="auto"/>
        </w:rPr>
      </w:pPr>
      <w:r>
        <w:rPr>
          <w:rFonts w:ascii="Times New Roman" w:cs="Times New Roman" w:eastAsia="Times New Roman" w:hAnsi="Times New Roman"/>
          <w:sz w:val="15"/>
          <w:szCs w:val="15"/>
          <w:color w:val="auto"/>
        </w:rPr>
        <w:t>Our surgical facilities are subject to state licensing requirements. Although our surgical hospitals primarily or exclusively provide surgical services, they must meet all applicable requirements for general hospital licensure. In addition, based on the specific operations of our surgical facilities, these facilities maintain a pharmacy license, a controlled substance registration, a clinical laboratory certification waiver or laboratory certification, and environmental protection permits for biohazards and/or radioactive materials, as required by applicable law. The failure to comply with these regulations and applicable licensing requirements could result in the suspension or revocation of a facility’s license.</w:t>
      </w:r>
    </w:p>
    <w:p>
      <w:pPr>
        <w:spacing w:after="0" w:line="65" w:lineRule="exact"/>
        <w:rPr>
          <w:sz w:val="20"/>
          <w:szCs w:val="20"/>
          <w:color w:val="auto"/>
        </w:rPr>
      </w:pPr>
    </w:p>
    <w:p>
      <w:pPr>
        <w:jc w:val="both"/>
        <w:ind w:firstLine="309"/>
        <w:spacing w:after="0" w:line="266" w:lineRule="auto"/>
        <w:rPr>
          <w:sz w:val="20"/>
          <w:szCs w:val="20"/>
          <w:color w:val="auto"/>
        </w:rPr>
      </w:pPr>
      <w:r>
        <w:rPr>
          <w:rFonts w:ascii="Times New Roman" w:cs="Times New Roman" w:eastAsia="Times New Roman" w:hAnsi="Times New Roman"/>
          <w:sz w:val="15"/>
          <w:szCs w:val="15"/>
          <w:color w:val="auto"/>
        </w:rPr>
        <w:t>As of December 31, 2025, the majority of our facilities were accredited by either The Joint Commission or the Accreditation Association for Ambulatory Health Care, two of the major national organizations that establish standards relating to the physical plant, administration, quality of patient care and operation of medical staffs of various types of health care facilities. These accredited facilities are subject to periodic surveys by the accrediting organization to ensure that they are in compliance with the applicable standards. Many private insurance health plans require our facilities to be accredited by one of these organizations in order to be participating providers. Failure to maintain accreditation would cause a facility to become subject to state survey agency oversight and potentially subject to increased scrutiny by CMS and could result in a loss of payment from private insurance health plans.</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Recent Developments and Potential Changes in Health Care Policy</w:t>
      </w:r>
    </w:p>
    <w:p>
      <w:pPr>
        <w:spacing w:after="0" w:line="115" w:lineRule="exact"/>
        <w:rPr>
          <w:sz w:val="20"/>
          <w:szCs w:val="20"/>
          <w:color w:val="auto"/>
        </w:rPr>
      </w:pPr>
    </w:p>
    <w:p>
      <w:pPr>
        <w:jc w:val="both"/>
        <w:ind w:firstLine="309"/>
        <w:spacing w:after="0" w:line="264" w:lineRule="auto"/>
        <w:rPr>
          <w:sz w:val="20"/>
          <w:szCs w:val="20"/>
          <w:color w:val="auto"/>
        </w:rPr>
      </w:pPr>
      <w:r>
        <w:rPr>
          <w:rFonts w:ascii="Times New Roman" w:cs="Times New Roman" w:eastAsia="Times New Roman" w:hAnsi="Times New Roman"/>
          <w:sz w:val="15"/>
          <w:szCs w:val="15"/>
          <w:color w:val="auto"/>
        </w:rPr>
        <w:t>The Patient Protection and Affordable Care Act, as amended by the Health Care and Education Reconciliation Act of 2010 (the "Affordable Care Act"), extended health coverage to millions of uninsured legal U.S. residents through a combination of private sector health insurance reforms and public program expansion. The expansion of health insurance coverage under the Affordable Care Act resulted in an increase in the number of patients using our facilities with either private or public program coverage and a decrease in uninsured and charity case admissions, along with reductions in Medicare and Medicaid reimbursement to healthcare providers. Efforts to repeal the Affordable Care Act have persisted since its enactment. As an example, the Tax and Jobs Act of 2017 effectively eliminated the tax penalty associated with the so-called "individual mandate," which required most individuals to obtain qualifying health insurance coverage or pay a tax penalty. However, further legislative efforts to repeal and replace the Affordable Care Act in full have not been successful. Nevertheless, we are unable to guarantee that future efforts, such as the adoption of any future federal or state health care reform legislation, or any ruling by a court with respect to the Affordable Care Act, will not have a negative financial impact on the Company.</w:t>
      </w:r>
    </w:p>
    <w:p>
      <w:pPr>
        <w:spacing w:after="0" w:line="68" w:lineRule="exact"/>
        <w:rPr>
          <w:sz w:val="20"/>
          <w:szCs w:val="20"/>
          <w:color w:val="auto"/>
        </w:rPr>
      </w:pPr>
    </w:p>
    <w:p>
      <w:pPr>
        <w:jc w:val="both"/>
        <w:ind w:firstLine="309"/>
        <w:spacing w:after="0" w:line="264" w:lineRule="auto"/>
        <w:rPr>
          <w:sz w:val="20"/>
          <w:szCs w:val="20"/>
          <w:color w:val="auto"/>
        </w:rPr>
      </w:pPr>
      <w:r>
        <w:rPr>
          <w:rFonts w:ascii="Times New Roman" w:cs="Times New Roman" w:eastAsia="Times New Roman" w:hAnsi="Times New Roman"/>
          <w:sz w:val="15"/>
          <w:szCs w:val="15"/>
          <w:color w:val="auto"/>
        </w:rPr>
        <w:t>Various laws and regulations that have been implemented since the Affordable Care Act’s enactment have successfully lengthened the enrollment period, expanded income eligibility, and reduced premium caps for subsidies for individuals purchasing Affordable Care Act coverage through state and federal marketplaces; however, the Affordable Care Act subsidies expired on December 31, 2025 following Congress’ failure to renew and extend them. It is widely anticipated that their expiration will result in significant increases in premiums, likely leading to decreased enrollment and a corresponding rise in the number of uninsured individuals or, at minimum, a shift of individuals from commercial coverage to government program coverage. An increase in the uninsured population in addition to or combined with a wide-scale transition of patients from commercial to government program coverage may have a negative impact on the Company’s financial performance by reducing demand for services and decreasing reimbursement for such services when rendered.</w:t>
      </w:r>
    </w:p>
    <w:p>
      <w:pPr>
        <w:spacing w:after="0" w:line="267" w:lineRule="exact"/>
        <w:rPr>
          <w:sz w:val="20"/>
          <w:szCs w:val="20"/>
          <w:color w:val="auto"/>
        </w:rPr>
      </w:pPr>
    </w:p>
    <w:p>
      <w:pPr>
        <w:jc w:val="both"/>
        <w:ind w:firstLine="309"/>
        <w:spacing w:after="0" w:line="265" w:lineRule="auto"/>
        <w:rPr>
          <w:sz w:val="20"/>
          <w:szCs w:val="20"/>
          <w:color w:val="auto"/>
        </w:rPr>
      </w:pPr>
      <w:r>
        <w:rPr>
          <w:rFonts w:ascii="Times New Roman" w:cs="Times New Roman" w:eastAsia="Times New Roman" w:hAnsi="Times New Roman"/>
          <w:sz w:val="15"/>
          <w:szCs w:val="15"/>
          <w:color w:val="auto"/>
        </w:rPr>
        <w:t>We cannot predict whether or how Congress may further extend or modify provisions of or relating to the Affordable Care Act or other laws affecting the healthcare industry generally, nor can we predict how the current administration will influence, promulgate or implement rules, regulations or executive orders that affect the healthcare industry directly or indirectly. We may also experience potential impacts on our business, in ways we cannot anticipate, from healthcare-related policy changes at the state level. Some federal and state changes, initiatives and requirements could, among other things, negatively impact our patient volumes, case mix and revenue mix, increase our operating costs, adversely affect the reimbursement we receive for our services, impact our competitive position or require us to expand resources to modify certain aspects of our operations.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2"/>
          <w:szCs w:val="12"/>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More specifically, we are unable to predict the effect of future government healthcare funding policy changes on our business. The Medicare and Medicaid programs are subject</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to:</w:t>
      </w:r>
    </w:p>
    <w:p>
      <w:pPr>
        <w:spacing w:after="0" w:line="108" w:lineRule="exact"/>
        <w:rPr>
          <w:sz w:val="20"/>
          <w:szCs w:val="20"/>
          <w:color w:val="auto"/>
        </w:rPr>
      </w:pPr>
    </w:p>
    <w:p>
      <w:pPr>
        <w:ind w:left="620" w:hanging="307"/>
        <w:spacing w:after="0" w:line="289" w:lineRule="auto"/>
        <w:tabs>
          <w:tab w:leader="none" w:pos="609"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Statutory and regulatory changes, administrative and judicial rulings, executive orders, interpretations and determinations concerning eligibility requirements, funding levels and the method of calculating reimbursements, among other things;</w:t>
      </w:r>
    </w:p>
    <w:p>
      <w:pPr>
        <w:spacing w:after="0" w:line="61" w:lineRule="exact"/>
        <w:rPr>
          <w:rFonts w:ascii="Times New Roman" w:cs="Times New Roman" w:eastAsia="Times New Roman" w:hAnsi="Times New Roman"/>
          <w:sz w:val="15"/>
          <w:szCs w:val="15"/>
          <w:color w:val="auto"/>
        </w:rPr>
      </w:pPr>
    </w:p>
    <w:p>
      <w:pPr>
        <w:ind w:left="620" w:hanging="307"/>
        <w:spacing w:after="0"/>
        <w:tabs>
          <w:tab w:leader="none" w:pos="62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Requirements for utilization review; and</w:t>
      </w:r>
    </w:p>
    <w:p>
      <w:pPr>
        <w:spacing w:after="0" w:line="111" w:lineRule="exact"/>
        <w:rPr>
          <w:rFonts w:ascii="Times New Roman" w:cs="Times New Roman" w:eastAsia="Times New Roman" w:hAnsi="Times New Roman"/>
          <w:sz w:val="15"/>
          <w:szCs w:val="15"/>
          <w:color w:val="auto"/>
        </w:rPr>
      </w:pPr>
    </w:p>
    <w:p>
      <w:pPr>
        <w:ind w:left="620" w:hanging="307"/>
        <w:spacing w:after="0"/>
        <w:tabs>
          <w:tab w:leader="none" w:pos="62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Federal and state funding restrictions.</w:t>
      </w:r>
    </w:p>
    <w:p>
      <w:pPr>
        <w:spacing w:after="0" w:line="111" w:lineRule="exact"/>
        <w:rPr>
          <w:sz w:val="20"/>
          <w:szCs w:val="20"/>
          <w:color w:val="auto"/>
        </w:rPr>
      </w:pPr>
    </w:p>
    <w:p>
      <w:pPr>
        <w:jc w:val="both"/>
        <w:ind w:firstLine="309"/>
        <w:spacing w:after="0" w:line="269" w:lineRule="auto"/>
        <w:rPr>
          <w:sz w:val="20"/>
          <w:szCs w:val="20"/>
          <w:color w:val="auto"/>
        </w:rPr>
      </w:pPr>
      <w:r>
        <w:rPr>
          <w:rFonts w:ascii="Times New Roman" w:cs="Times New Roman" w:eastAsia="Times New Roman" w:hAnsi="Times New Roman"/>
          <w:sz w:val="15"/>
          <w:szCs w:val="15"/>
          <w:color w:val="auto"/>
        </w:rPr>
        <w:t>Any of these factors could materially increase or decrease payments from government programs in the future, as well as affect the cost of providing services to our patients and the timing of payments to our facilities. If the rates paid by governmental payers are reduced, if the scope of services covered by governmental payers is limited, if eligibility or enrollment is further restricted, if there are changes to align payment rates for certain procedures across various care settings, or if we or one or more of our facilities are excluded from participation in the Medicare or Medicaid program or any other government healthcare program, there could be a material adverse effect on our business, financial condition, results of operations or cash flows. Furthermore, we cannot predict the impact healthcare policy risks and uncertainties may have on the trading price of our common stock.</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One Big Beautiful Bill Act</w:t>
      </w:r>
    </w:p>
    <w:p>
      <w:pPr>
        <w:spacing w:after="0" w:line="128" w:lineRule="exact"/>
        <w:rPr>
          <w:sz w:val="20"/>
          <w:szCs w:val="20"/>
          <w:color w:val="auto"/>
        </w:rPr>
      </w:pPr>
    </w:p>
    <w:p>
      <w:pPr>
        <w:jc w:val="both"/>
        <w:ind w:firstLine="309"/>
        <w:spacing w:after="0" w:line="261" w:lineRule="auto"/>
        <w:rPr>
          <w:sz w:val="20"/>
          <w:szCs w:val="20"/>
          <w:color w:val="auto"/>
        </w:rPr>
      </w:pPr>
      <w:r>
        <w:rPr>
          <w:rFonts w:ascii="Times New Roman" w:cs="Times New Roman" w:eastAsia="Times New Roman" w:hAnsi="Times New Roman"/>
          <w:sz w:val="15"/>
          <w:szCs w:val="15"/>
          <w:color w:val="auto"/>
        </w:rPr>
        <w:t>On July 4, 2025, Congress passed the One Big Beautiful Bill Act (the “OBBBA”), its budget reconciliation act for federal fiscal year 2025. The OBBBA includes provisions that may impact the financial performance of the Company through substantial modifications to the state and federal statutes and regulations to which the Company’s operations are subject. OBBBA provisions that may impact the Company have varying effective dates, and analysis of their impact and timing is ongoing. The Company is unable to predict whether or how future legislation, rulemaking, or judicial action will impact implementation of the OBBBA. Of particular relevance to the Company’s operations, the OBBBA has reduced the federal government’s overall Medicaid expenditures and tightened Medicaid eligibility requirements, each of which are likely to drive an increase in the uninsured population. Because the Company’s facilities rely in part of reimbursement from federal health care programs, including Medicaid, for the reimbursement of services rendered, these changes may have a negative impact on the Company’s financial performance. Ongoing budgetary uncertainties and continued efforts to reduce the federal deficit may result in further payment reductions from both the Medicaid and Medicare programs.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Medicare and Medicaid Participation</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The majority of our revenue is derived from third-party payors, including federal and state health care programs, such as Medicare and Medicaid, and private insurance payors.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Continued participation in these programs, and in particular Medicare, is dependent on our continued compliance with regulations promulgated by HHS.</w:t>
      </w:r>
    </w:p>
    <w:p>
      <w:pPr>
        <w:spacing w:after="0" w:line="105" w:lineRule="exact"/>
        <w:rPr>
          <w:sz w:val="20"/>
          <w:szCs w:val="20"/>
          <w:color w:val="auto"/>
        </w:rPr>
      </w:pPr>
    </w:p>
    <w:p>
      <w:pPr>
        <w:jc w:val="both"/>
        <w:ind w:firstLine="309"/>
        <w:spacing w:after="0" w:line="264" w:lineRule="auto"/>
        <w:rPr>
          <w:sz w:val="20"/>
          <w:szCs w:val="20"/>
          <w:color w:val="auto"/>
        </w:rPr>
      </w:pPr>
      <w:r>
        <w:rPr>
          <w:rFonts w:ascii="Times New Roman" w:cs="Times New Roman" w:eastAsia="Times New Roman" w:hAnsi="Times New Roman"/>
          <w:sz w:val="15"/>
          <w:szCs w:val="15"/>
          <w:color w:val="auto"/>
        </w:rPr>
        <w:t>Federal law contains numerous provisions designed to ensure that services rendered by hospitals to Medicare and Medicaid patients meet professionally recognized standards, are medically necessary and that claims for reimbursement are properly filed. These provisions include a requirement that a sampling of admissions of Medicare and Medicaid patients must be reviewed by quality improvement organizations, which review the appropriateness of patient admissions and discharges, the quality of care provided, the validity of MS-DRG classifications and the appropriateness of cases of extraordinary length of stay or cost. Additionally, CMS has implemented a number of programs that use private contractors that contract with CMS to identify overpayments and underpayments and other potential sources of billing fraud. Our facilities and providers periodically receive letters from auditors contracted with CMS requesting repayment of alleged overpayments for services and incur expenses associated with responding to and appealing these determinations, as well as the costs of repaying any overpayments. Although all such repayments requested to date have been immaterial, we are unable to quantify the aggregate financial impact of these audits on our facilities given the pending appeals and uncertainty about the extent of future audits.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Federal Anti-Kickback Statute and Medicare Fraud and Abuse Laws</w:t>
      </w:r>
    </w:p>
    <w:p>
      <w:pPr>
        <w:spacing w:after="0" w:line="128" w:lineRule="exact"/>
        <w:rPr>
          <w:sz w:val="20"/>
          <w:szCs w:val="20"/>
          <w:color w:val="auto"/>
        </w:rPr>
      </w:pPr>
    </w:p>
    <w:p>
      <w:pPr>
        <w:jc w:val="both"/>
        <w:ind w:firstLine="309"/>
        <w:spacing w:after="0" w:line="261" w:lineRule="auto"/>
        <w:rPr>
          <w:sz w:val="20"/>
          <w:szCs w:val="20"/>
          <w:color w:val="auto"/>
        </w:rPr>
      </w:pPr>
      <w:r>
        <w:rPr>
          <w:rFonts w:ascii="Times New Roman" w:cs="Times New Roman" w:eastAsia="Times New Roman" w:hAnsi="Times New Roman"/>
          <w:sz w:val="15"/>
          <w:szCs w:val="15"/>
          <w:color w:val="auto"/>
        </w:rPr>
        <w:t>The Social Security Act of 1935 includes provisions addressing false statements, illegal remuneration and other instances of fraud and abuse in federal health care programs. These provisions include the statute commonly known as the federal Anti-Kickback statute (the "Anti-Kickback Statute"). The Anti-Kickback statute prohibits providers and others from, among other things, soliciting, receiving, offering or paying, directly or indirectly, any remuneration in return for either making a referral for, or ordering or arranging for, or recommending the order of, any item or service covered by a federal health care program, including, but not limited to, the Medicare and Medicaid programs. Violations of the Anti-Kickback Statute are criminal offenses punishable by imprisonment and fines of up to $100,000 for each violation. Civil violations are punishable by fines of up to $50,000 for each violation, as well as damages of up to three times the total amount of remuneration received from the government for health care claims. Violations may further result in civil monetary penalties and exclusion from state and federal health care programs. An arrangement may violate the Anti-Kickback Statute even if only one purpose – as opposed to the primary purpose – of the arrangement is to induce referrals. Specific intent to violate the statute is not required for a violation to occur.</w:t>
      </w:r>
    </w:p>
    <w:p>
      <w:pPr>
        <w:spacing w:after="0" w:line="85" w:lineRule="exact"/>
        <w:rPr>
          <w:sz w:val="20"/>
          <w:szCs w:val="20"/>
          <w:color w:val="auto"/>
        </w:rPr>
      </w:pPr>
    </w:p>
    <w:p>
      <w:pPr>
        <w:jc w:val="both"/>
        <w:ind w:firstLine="309"/>
        <w:spacing w:after="0" w:line="269" w:lineRule="auto"/>
        <w:rPr>
          <w:sz w:val="20"/>
          <w:szCs w:val="20"/>
          <w:color w:val="auto"/>
        </w:rPr>
      </w:pPr>
      <w:r>
        <w:rPr>
          <w:rFonts w:ascii="Times New Roman" w:cs="Times New Roman" w:eastAsia="Times New Roman" w:hAnsi="Times New Roman"/>
          <w:sz w:val="15"/>
          <w:szCs w:val="15"/>
          <w:color w:val="auto"/>
        </w:rPr>
        <w:t>Under regulations issued by the Office of the Inspector General of HHS (the "OIG"), certain types of arrangements involving remuneration are deemed not to violate the Anti-Kickback Statute (commonly referred to as the safe harbors). The safe harbor regulations outline standards that, if complied with, protect conduct that might otherwise be deemed in violation of the Anti-Kickback Statute. The failure of a particular business arrangement to comply with a safe harbor does not determine whether the arrangement violates the Anti-Kickback Statute. Instead, when a transaction or relationship does not fit within a safe harbor, the facts and circumstances as well as the</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2"/>
          <w:szCs w:val="12"/>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intent of the parties related to a specific transaction or relationship must be examined to determine whether or not any illegal conduct has occurred.</w:t>
      </w:r>
    </w:p>
    <w:p>
      <w:pPr>
        <w:spacing w:after="0" w:line="111" w:lineRule="exact"/>
        <w:rPr>
          <w:sz w:val="20"/>
          <w:szCs w:val="20"/>
          <w:color w:val="auto"/>
        </w:rPr>
      </w:pPr>
    </w:p>
    <w:p>
      <w:pPr>
        <w:jc w:val="both"/>
        <w:ind w:firstLine="309"/>
        <w:spacing w:after="0" w:line="264" w:lineRule="auto"/>
        <w:rPr>
          <w:sz w:val="20"/>
          <w:szCs w:val="20"/>
          <w:color w:val="auto"/>
        </w:rPr>
      </w:pPr>
      <w:r>
        <w:rPr>
          <w:rFonts w:ascii="Times New Roman" w:cs="Times New Roman" w:eastAsia="Times New Roman" w:hAnsi="Times New Roman"/>
          <w:sz w:val="15"/>
          <w:szCs w:val="15"/>
          <w:color w:val="auto"/>
        </w:rPr>
        <w:t>Physician-owners of our surgical facilities are in a position to generate referrals to the facilities, potentially subjecting the distribution of available cash to those investors to scrutiny under the Anti-Kickback Statute. Because the ownership and operations of our surgical facilities may not fit wholly within any of the safe harbors, we attempt to structure our surgical facilities, and in particular our ASCs, to fit as closely as possible within the safe harbor designed to protect distributions to physician-investors in ASCs who directly refer patients to the ASC and personally perform the procedures at the center as an extension of their practice (the "ASC Safe Harbor"). However, we believe that the ownership and operations of our surgical facilities will not fully satisfy the ASC Safe Harbor requirements for investment interests in ASCs because, among other things, we or one of our subsidiaries will generally be an investor in and provide management services to each ASC. While we believe our ASCs would nonetheless be found to be compliant with the Anti-Kickback Statute, we cannot assure you that the OIG would view our activities favorably even though we strive to achieve compliance with the remaining elements of this safe harbor.</w:t>
      </w:r>
    </w:p>
    <w:p>
      <w:pPr>
        <w:spacing w:after="0" w:line="270" w:lineRule="exact"/>
        <w:rPr>
          <w:sz w:val="20"/>
          <w:szCs w:val="20"/>
          <w:color w:val="auto"/>
        </w:rPr>
      </w:pPr>
    </w:p>
    <w:p>
      <w:pPr>
        <w:jc w:val="both"/>
        <w:ind w:firstLine="309"/>
        <w:spacing w:after="0" w:line="261" w:lineRule="auto"/>
        <w:rPr>
          <w:sz w:val="20"/>
          <w:szCs w:val="20"/>
          <w:color w:val="auto"/>
        </w:rPr>
      </w:pPr>
      <w:r>
        <w:rPr>
          <w:rFonts w:ascii="Times New Roman" w:cs="Times New Roman" w:eastAsia="Times New Roman" w:hAnsi="Times New Roman"/>
          <w:sz w:val="15"/>
          <w:szCs w:val="15"/>
          <w:color w:val="auto"/>
        </w:rPr>
        <w:t>In addition, although we expect each physician-investor to utilize the ASCs as an extension of his or her practice and ask each physician-investor to certify this practice, we cannot assure you that all physician-investors will do so in a manner consistent with the requirements of the ASC Safe Harbor. Interests in our ASC joint ventures are purchased at what we believe to be fair market value. Investors who purchase at a later time generally pay more for a given percentage interest than founding investors. The result is that while all investors are paid distributions in accordance with their ownership interests, for ASCs where there are later purchases, we cannot meet the safe harbor requirement that return on investment is directly proportional to the amount of capital investment. The OIG has on several occasions reviewed investments relating to ASCs, and in Advisory Opinion No. 07-05 (June 19, 2007), raised concerns that (a) purchases of interests from physicians might yield gains on investment rather than capital infusion to the ASCs, (b) such purchases could be meant to reward or influence the selling physicians’ referrals to the ASC or the hospital, and (c) such returns might not be directly proportional to the amount of capital invested. For similar reasons, our hospital investments do not fit wholly within the safe harbor for investments in small entities because certain of the investment interests are held by investors who are either in a position to refer to the hospital or who provide services to the hospital and because the hospital’s gross revenues are derived from referrals generated by those investors. However, we believe our surgical facilities comply with the remaining elements of their respective safe harbors.</w:t>
      </w:r>
    </w:p>
    <w:p>
      <w:pPr>
        <w:spacing w:after="0" w:line="71" w:lineRule="exact"/>
        <w:rPr>
          <w:sz w:val="20"/>
          <w:szCs w:val="20"/>
          <w:color w:val="auto"/>
        </w:rPr>
      </w:pPr>
    </w:p>
    <w:p>
      <w:pPr>
        <w:jc w:val="both"/>
        <w:ind w:firstLine="309"/>
        <w:spacing w:after="0" w:line="263" w:lineRule="auto"/>
        <w:rPr>
          <w:sz w:val="20"/>
          <w:szCs w:val="20"/>
          <w:color w:val="auto"/>
        </w:rPr>
      </w:pPr>
      <w:r>
        <w:rPr>
          <w:rFonts w:ascii="Times New Roman" w:cs="Times New Roman" w:eastAsia="Times New Roman" w:hAnsi="Times New Roman"/>
          <w:sz w:val="15"/>
          <w:szCs w:val="15"/>
          <w:color w:val="auto"/>
        </w:rPr>
        <w:t>Our financial relationships with potential referral sources could potentially be scrutinized under the Anti-Kickback Statute. We have entered into management agreements to manage the majority of our surgical facilities and physician practices. Most of these agreements call for our subsidiary to be paid a percentage of revenue-based management fee. Although there is a safe harbor for personal services and management contracts (the "Personal Services and Management Safe Harbor"), the Personal Services and Management Safe Harbor requires, among other things, that the amount of the aggregate compensation paid to the manager over the term of the agreement be set in advance. Because our management fees are generally based on a percentage of revenue, our management agreements do not typically meet this requirement. We do, however, believe that our management arrangements satisfy the other requirements of the Personal Services and Management Safe Harbor for personal services and management contracts. The OIG has taken the position in several advisory opinions that percentage-based management agreements are not protected by a safe harbor, and consequently, may violate the Anti-Kickback Statute. We have implemented formal compliance programs designed to safeguard against overbilling and believe that our management agreements comply with the requirements of the Anti-Kickback Statute. However, we cannot assure you that the OIG would find our compliance programs to be adequate or that our management agreements would be found to comply with the Anti-Kickback Statute.</w:t>
      </w:r>
    </w:p>
    <w:p>
      <w:pPr>
        <w:spacing w:after="0" w:line="258" w:lineRule="exact"/>
        <w:rPr>
          <w:sz w:val="20"/>
          <w:szCs w:val="20"/>
          <w:color w:val="auto"/>
        </w:rPr>
      </w:pPr>
    </w:p>
    <w:p>
      <w:pPr>
        <w:jc w:val="both"/>
        <w:ind w:firstLine="309"/>
        <w:spacing w:after="0" w:line="269" w:lineRule="auto"/>
        <w:rPr>
          <w:sz w:val="20"/>
          <w:szCs w:val="20"/>
          <w:color w:val="auto"/>
        </w:rPr>
      </w:pPr>
      <w:r>
        <w:rPr>
          <w:rFonts w:ascii="Times New Roman" w:cs="Times New Roman" w:eastAsia="Times New Roman" w:hAnsi="Times New Roman"/>
          <w:sz w:val="15"/>
          <w:szCs w:val="15"/>
          <w:color w:val="auto"/>
        </w:rPr>
        <w:t>We also may guarantee a surgical facility’s third-party debt financing and certain lease obligations as part of our obligations under a management agreement. Physician investors are generally not required to enter into similar guarantees. The OIG might take the position that the failure of the physician investors to enter into similar guarantees represents a special benefit to the physician investors given to induce patient referrals and that such failure constitutes a violation of the Anti-Kickback Statute. We believe that the management fees (and in some cases guarantee fees) are adequate compensation to us for the credit risk associated with the guarantees and that the failure of the physician investors to enter into similar guarantees does not create a material risk of violating the Anti-Kickback Statute. However, the OIG has not issued any guidance in this regard.</w:t>
      </w:r>
    </w:p>
    <w:p>
      <w:pPr>
        <w:spacing w:after="0" w:line="65" w:lineRule="exact"/>
        <w:rPr>
          <w:sz w:val="20"/>
          <w:szCs w:val="20"/>
          <w:color w:val="auto"/>
        </w:rPr>
      </w:pPr>
    </w:p>
    <w:p>
      <w:pPr>
        <w:jc w:val="both"/>
        <w:ind w:firstLine="309"/>
        <w:spacing w:after="0" w:line="269" w:lineRule="auto"/>
        <w:rPr>
          <w:sz w:val="20"/>
          <w:szCs w:val="20"/>
          <w:color w:val="auto"/>
        </w:rPr>
      </w:pPr>
      <w:r>
        <w:rPr>
          <w:rFonts w:ascii="Times New Roman" w:cs="Times New Roman" w:eastAsia="Times New Roman" w:hAnsi="Times New Roman"/>
          <w:sz w:val="15"/>
          <w:szCs w:val="15"/>
          <w:color w:val="auto"/>
        </w:rPr>
        <w:t>Evolving interpretations of current, or the adoption of new, federal or state laws or regulations could affect many of our arrangements. Law enforcement authorities, including the OIG, the courts and Congress, are increasing their scrutiny of arrangements between health care providers and potential referral sources to ensure that the arrangements are not designed as a mechanism to exchange remuneration for patient care referrals or opportunities. Investigators have also demonstrated a willingness to look behind the formalities of a business transaction to determine the underlying purposes of payments between health care providers and potential referral sources.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Federal Physician Self-Referral Law</w:t>
      </w:r>
    </w:p>
    <w:p>
      <w:pPr>
        <w:spacing w:after="0" w:line="115" w:lineRule="exact"/>
        <w:rPr>
          <w:sz w:val="20"/>
          <w:szCs w:val="20"/>
          <w:color w:val="auto"/>
        </w:rPr>
      </w:pPr>
    </w:p>
    <w:p>
      <w:pPr>
        <w:jc w:val="both"/>
        <w:ind w:firstLine="309"/>
        <w:spacing w:after="0" w:line="265" w:lineRule="auto"/>
        <w:rPr>
          <w:sz w:val="20"/>
          <w:szCs w:val="20"/>
          <w:color w:val="auto"/>
        </w:rPr>
      </w:pPr>
      <w:r>
        <w:rPr>
          <w:rFonts w:ascii="Times New Roman" w:cs="Times New Roman" w:eastAsia="Times New Roman" w:hAnsi="Times New Roman"/>
          <w:sz w:val="15"/>
          <w:szCs w:val="15"/>
          <w:color w:val="auto"/>
        </w:rPr>
        <w:t>The federal physician self-referral law (the "Stark Law") prohibits physicians (as well as chiropractors, optometrists, dentists and podiatrists) from referring patients to an entity with which the practitioner or a member of his or her immediate family has a "financial relationship" for the provision of certain "designated health services" that are paid for in whole or in part by Medicare or Medicaid unless an exception applies. "Designated health services" include inpatient and outpatient hospital services, clinical laboratory services and radiology services. The term "financial relationship" is broadly defined and includes most types of ownership and compensation relationships. The Stark Law also prohibits the entity from seeking payment from Medicare or Medicaid for services that are rendered through a prohibited referral. If an entity is paid for services provided through a prohibited referral, it may be required to refund the payments. Violations of the Stark Law may also result in the imposition of damages equal to three times the amount improperly claimed</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2"/>
          <w:szCs w:val="12"/>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5"/>
          <w:szCs w:val="15"/>
          <w:color w:val="auto"/>
        </w:rPr>
        <w:t>and civil monetary penalties of up to $15,000 per prohibited claim and $100,000 per prohibited circumvention scheme and exclusion from participation in the Medicare and Medicaid programs.</w:t>
      </w:r>
    </w:p>
    <w:p>
      <w:pPr>
        <w:spacing w:after="0" w:line="62" w:lineRule="exact"/>
        <w:rPr>
          <w:sz w:val="20"/>
          <w:szCs w:val="20"/>
          <w:color w:val="auto"/>
        </w:rPr>
      </w:pPr>
    </w:p>
    <w:p>
      <w:pPr>
        <w:jc w:val="both"/>
        <w:ind w:firstLine="309"/>
        <w:spacing w:after="0" w:line="265" w:lineRule="auto"/>
        <w:rPr>
          <w:sz w:val="20"/>
          <w:szCs w:val="20"/>
          <w:color w:val="auto"/>
        </w:rPr>
      </w:pPr>
      <w:r>
        <w:rPr>
          <w:rFonts w:ascii="Times New Roman" w:cs="Times New Roman" w:eastAsia="Times New Roman" w:hAnsi="Times New Roman"/>
          <w:sz w:val="15"/>
          <w:szCs w:val="15"/>
          <w:color w:val="auto"/>
        </w:rPr>
        <w:t>Notably, "designated health services" does not include surgical services that are provided in an ASC. Furthermore, Stark Law regulations specifically define the term "designated health services" to not include services that are reimbursed by Medicare as part of a composite rate, such as services that are provided in an ASC. However, if designated health services are provided by an ASC and separately billed, referrals to the ASC by a physician-investor would be prohibited by the Stark Law. Because our facilities that are licensed as ASCs do not have independent laboratories and do not provide designated health services apart from surgical services, we do not believe referrals to these facilities by physician-investors are prohibited. If legislation or regulations are implemented that prohibit physicians from referring patients to surgical facilities in which the physician has a beneficial interest, our business and financial results could be materially adversely affected.</w:t>
      </w:r>
    </w:p>
    <w:p>
      <w:pPr>
        <w:spacing w:after="0" w:line="69" w:lineRule="exact"/>
        <w:rPr>
          <w:sz w:val="20"/>
          <w:szCs w:val="20"/>
          <w:color w:val="auto"/>
        </w:rPr>
      </w:pPr>
    </w:p>
    <w:p>
      <w:pPr>
        <w:jc w:val="both"/>
        <w:ind w:firstLine="309"/>
        <w:spacing w:after="0" w:line="269" w:lineRule="auto"/>
        <w:rPr>
          <w:sz w:val="20"/>
          <w:szCs w:val="20"/>
          <w:color w:val="auto"/>
        </w:rPr>
      </w:pPr>
      <w:r>
        <w:rPr>
          <w:rFonts w:ascii="Times New Roman" w:cs="Times New Roman" w:eastAsia="Times New Roman" w:hAnsi="Times New Roman"/>
          <w:sz w:val="15"/>
          <w:szCs w:val="15"/>
          <w:color w:val="auto"/>
        </w:rPr>
        <w:t>The Stark Law currently includes the Whole Hospital Exception, as modified by the Affordable Care Act, which governs physician ownership of a hospital and requires, among other things, that such ownership is in the whole hospital, the physician is authorized to perform services at the hospital, and the ownership predates December 31, 2010. We believe that physician investments in our facilities licensed as hospitals meet the requirements of the Whole Hospital Exception. We cannot predict whether amendments to the Whole Hospital Exception will be included in any future legislation, including a repeal of the Affordable Care Act, or if Congress will adopt any similar provisions that would prohibit or otherwise restrict physicians from holding ownership interests in hospitals. Any such changes could have an adverse effect on our financial condition and results of operations.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State Regulation</w:t>
      </w:r>
    </w:p>
    <w:p>
      <w:pPr>
        <w:spacing w:after="0" w:line="115" w:lineRule="exact"/>
        <w:rPr>
          <w:sz w:val="20"/>
          <w:szCs w:val="20"/>
          <w:color w:val="auto"/>
        </w:rPr>
      </w:pPr>
    </w:p>
    <w:p>
      <w:pPr>
        <w:jc w:val="both"/>
        <w:ind w:firstLine="309"/>
        <w:spacing w:after="0" w:line="263" w:lineRule="auto"/>
        <w:rPr>
          <w:sz w:val="20"/>
          <w:szCs w:val="20"/>
          <w:color w:val="auto"/>
        </w:rPr>
      </w:pPr>
      <w:r>
        <w:rPr>
          <w:rFonts w:ascii="Times New Roman" w:cs="Times New Roman" w:eastAsia="Times New Roman" w:hAnsi="Times New Roman"/>
          <w:sz w:val="15"/>
          <w:szCs w:val="15"/>
          <w:color w:val="auto"/>
        </w:rPr>
        <w:t>Many of the states in which our surgical facilities operate have adopted statutes and/or regulations that prohibit the payment of kickbacks or any type of remuneration in exchange for patient referrals and that prohibit health care providers from, in certain circumstances, referring a patient to a health care facility in which the provider has an ownership or investment interest. While these statutes generally mirror the federal Anti-Kickback Statute and Stark Law, they vary widely in their scope and application. Some are specifically limited to health care services that are paid for in whole or in part by the Medicaid program; others apply to all health care services regardless of payor; and others apply only to state-defined designated services, which may differ from the designated health services under the Stark Law. In addition, many states have adopted statutes that mirror the False Claims Act and that prohibit the filing of a false or fraudulent claim with a state governmental agency. We intend to comply with all applicable state health care laws, rules and regulations. However, these laws, rules and regulations have typically been the subject of limited judicial and regulatory interpretation. As a result, we cannot assure you that our surgical facilities will not be investigated or scrutinized by the governmental authorities empowered to do so or, if challenged, that their activities would be found to be lawful. A determination of non-compliance with the applicable state health care laws, rules, and regulations could subject our surgical facilities to civil and criminal penalties and could have a material adverse effect on our operations.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Federal and State Privacy and Security Requirements</w:t>
      </w:r>
    </w:p>
    <w:p>
      <w:pPr>
        <w:spacing w:after="0" w:line="128" w:lineRule="exact"/>
        <w:rPr>
          <w:sz w:val="20"/>
          <w:szCs w:val="20"/>
          <w:color w:val="auto"/>
        </w:rPr>
      </w:pPr>
    </w:p>
    <w:p>
      <w:pPr>
        <w:jc w:val="both"/>
        <w:ind w:firstLine="309"/>
        <w:spacing w:after="0" w:line="261" w:lineRule="auto"/>
        <w:rPr>
          <w:sz w:val="20"/>
          <w:szCs w:val="20"/>
          <w:color w:val="auto"/>
        </w:rPr>
      </w:pPr>
      <w:r>
        <w:rPr>
          <w:rFonts w:ascii="Times New Roman" w:cs="Times New Roman" w:eastAsia="Times New Roman" w:hAnsi="Times New Roman"/>
          <w:sz w:val="15"/>
          <w:szCs w:val="15"/>
          <w:color w:val="auto"/>
        </w:rPr>
        <w:t>We are subject to the Medicare Patient and Program Protection Act of 1987, as amended by the Health Insurance Portability and Accountability Act of 1996 (“HIPAA”), including the Health Information Technology for Economic and Clinical Health Act (the "HITECH Act"), which was enacted as part of The American Recovery and Reinvestment Act of 2009. The HITECH Act strengthened the requirements and significantly increased the penalties for violations of the HIPAA privacy and security regulations. The HIPAA privacy standards apply to individually identifiable information held or disclosed by a covered entity in any form, whether communicated electronically, on paper or orally. These standards require our compliance with rules governing the use and disclosure of this health information. They create rights for patients in their health information and they require us to impose these rules, by contract, on any business associate to whom we disclose such information in order to perform functions on our behalf. The HIPAA security standards require us to establish and maintain reasonable and appropriate administrative, technical and physical safeguards to ensure the integrity, confidentiality and the availability of electronic protected health and related financial information. Although the security standards do not reference or advocate a specific technology, and covered health care providers, plans and clearinghouses have the flexibility to choose their own technical solutions, the security standards have required us to implement significant new systems, business procedures and training programs.</w:t>
      </w:r>
    </w:p>
    <w:p>
      <w:pPr>
        <w:spacing w:after="0" w:line="271" w:lineRule="exact"/>
        <w:rPr>
          <w:sz w:val="20"/>
          <w:szCs w:val="20"/>
          <w:color w:val="auto"/>
        </w:rPr>
      </w:pPr>
    </w:p>
    <w:p>
      <w:pPr>
        <w:jc w:val="both"/>
        <w:ind w:firstLine="309"/>
        <w:spacing w:after="0" w:line="262" w:lineRule="auto"/>
        <w:rPr>
          <w:sz w:val="20"/>
          <w:szCs w:val="20"/>
          <w:color w:val="auto"/>
        </w:rPr>
      </w:pPr>
      <w:r>
        <w:rPr>
          <w:rFonts w:ascii="Times New Roman" w:cs="Times New Roman" w:eastAsia="Times New Roman" w:hAnsi="Times New Roman"/>
          <w:sz w:val="15"/>
          <w:szCs w:val="15"/>
          <w:color w:val="auto"/>
        </w:rPr>
        <w:t>Violations of the HIPAA privacy and security regulations may result in civil and criminal penalties. The HITECH Act strengthened the requirements of the HIPAA privacy and security regulations and significantly increased the penalties for violations by introducing a tiered penalty system, with penalties of up to $50,000 per violation with a maximum civil penalty of $1.5 million in a calendar year for violations of the same requirement. However, a single breach incident can result in violations of multiple requirements, resulting in possible penalties well in excess of $1.5 million. The HITECH Act authorizes State Attorneys General to bring civil actions seeking either an injunction or damages in response to violations of HIPAA privacy and security regulations. We expect vigorous enforcement of the HITECH Act’s requirements by HHS and State Attorneys General. HHS has allocated increased funding towards HIPAA enforcement activity and such enforcement activity has seen a marked increase over recent years. We cannot predict whether our surgical facilities will be able to comply with future rules and are unable to predict the financial impact to our surgical facilities in implementing the requirements under such rules if and when they take effect.</w:t>
      </w:r>
    </w:p>
    <w:p>
      <w:pPr>
        <w:spacing w:after="0" w:line="268" w:lineRule="exact"/>
        <w:rPr>
          <w:sz w:val="20"/>
          <w:szCs w:val="20"/>
          <w:color w:val="auto"/>
        </w:rPr>
      </w:pPr>
    </w:p>
    <w:p>
      <w:pPr>
        <w:jc w:val="both"/>
        <w:ind w:firstLine="309"/>
        <w:spacing w:after="0" w:line="289" w:lineRule="auto"/>
        <w:rPr>
          <w:sz w:val="20"/>
          <w:szCs w:val="20"/>
          <w:color w:val="auto"/>
        </w:rPr>
      </w:pPr>
      <w:r>
        <w:rPr>
          <w:rFonts w:ascii="Times New Roman" w:cs="Times New Roman" w:eastAsia="Times New Roman" w:hAnsi="Times New Roman"/>
          <w:sz w:val="15"/>
          <w:szCs w:val="15"/>
          <w:color w:val="auto"/>
        </w:rPr>
        <w:t>Our facilities also remain subject to any state laws that relate to privacy or the reporting of data breaches that are more restrictive than the regulations issued under HIPAA and the requirements of the HITECH Act. For example, various state laws and regulations may require</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2"/>
          <w:szCs w:val="12"/>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us to notify affected individuals in the event of a data breach involving certain personal information, such as social security numbers, dates of birth and credit card information.</w:t>
      </w:r>
    </w:p>
    <w:p>
      <w:pPr>
        <w:spacing w:after="0" w:line="111" w:lineRule="exact"/>
        <w:rPr>
          <w:sz w:val="20"/>
          <w:szCs w:val="20"/>
          <w:color w:val="auto"/>
        </w:rPr>
      </w:pPr>
    </w:p>
    <w:p>
      <w:pPr>
        <w:jc w:val="both"/>
        <w:ind w:firstLine="309"/>
        <w:spacing w:after="0" w:line="279" w:lineRule="auto"/>
        <w:rPr>
          <w:sz w:val="20"/>
          <w:szCs w:val="20"/>
          <w:color w:val="auto"/>
        </w:rPr>
      </w:pPr>
      <w:r>
        <w:rPr>
          <w:rFonts w:ascii="Times New Roman" w:cs="Times New Roman" w:eastAsia="Times New Roman" w:hAnsi="Times New Roman"/>
          <w:sz w:val="15"/>
          <w:szCs w:val="15"/>
          <w:color w:val="auto"/>
        </w:rPr>
        <w:t>In response to the increasing number of cyberattacks targeting the healthcare sector, HHS issued a Notice of Proposed Rulemaking on January 6. 2025 aimed at enhancing HIPAA security regulations. If these proposed regulatory changes are enacted, our surgical facilities will need to comply with the new security standards, potentially incurring significant costs to implement necessary changes. As of December 31, 2025, however, HHS had yet to publish a final rule formalizing these proposals.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Emergency Medical Treatment and Active Labor Act</w:t>
      </w:r>
    </w:p>
    <w:p>
      <w:pPr>
        <w:spacing w:after="0" w:line="115" w:lineRule="exact"/>
        <w:rPr>
          <w:sz w:val="20"/>
          <w:szCs w:val="20"/>
          <w:color w:val="auto"/>
        </w:rPr>
      </w:pPr>
    </w:p>
    <w:p>
      <w:pPr>
        <w:jc w:val="both"/>
        <w:ind w:firstLine="309"/>
        <w:spacing w:after="0" w:line="261" w:lineRule="auto"/>
        <w:rPr>
          <w:sz w:val="20"/>
          <w:szCs w:val="20"/>
          <w:color w:val="auto"/>
        </w:rPr>
      </w:pPr>
      <w:r>
        <w:rPr>
          <w:rFonts w:ascii="Times New Roman" w:cs="Times New Roman" w:eastAsia="Times New Roman" w:hAnsi="Times New Roman"/>
          <w:sz w:val="15"/>
          <w:szCs w:val="15"/>
          <w:color w:val="auto"/>
        </w:rPr>
        <w:t>Our surgical hospitals are subject to the Emergency Medical Treatment and Active Labor Act ("EMTALA"). This federal law requires any hospital that participates in the Medicare program to conduct an appropriate medical screening examination of every person who presents to the hospital’s emergency department for treatment and, if the patient is suffering from an emergency medical condition, to either stabilize that condition or make an appropriate transfer of the patient to a facility that can handle the condition. The obligation to screen and stabilize emergency medical conditions or transfer exists regardless of a patient’s ability to pay for treatment. Off-campus facilities such as surgery centers that lack emergency departments or otherwise do not treat emergency medical conditions generally are not subject to EMTALA. They must, however, have policies in place that explain how the location should proceed in an emergency situation, such as transferring the patient to the closest hospital with an emergency department. There are severe penalties under EMTALA if a hospital fails to screen or appropriately stabilize or transfer a patient or if the hospital delays appropriate treatment in order to first inquire about the patient’s ability to pay, including civil monetary penalties and exclusion from participation in the government health care programs. In addition, an injured patient, the patient’s family or a medical facility that suffers a financial loss as a direct result of another hospital’s violation of the law can bring a civil suit against that other hospital. CMS has actively enforced EMTALA and has indicated that it will continue to do so in the future. We believe that our surgical hospitals comply with EMTALA. With respect to our surgical hospitals that do not have an emergency room, those hospitals maintain a protocol for the transfer of patients requiring emergency treatment. While we believe such protocols satisfy CMS requirements, we are unable to guarantee that CMS would not interpret such protocols to be inconsistent with EMTALA requirements, potentially jeopardizing each facility's participation in the Medicare program.</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Clinical Laboratory Regulation</w:t>
      </w:r>
    </w:p>
    <w:p>
      <w:pPr>
        <w:spacing w:after="0" w:line="115" w:lineRule="exact"/>
        <w:rPr>
          <w:sz w:val="20"/>
          <w:szCs w:val="20"/>
          <w:color w:val="auto"/>
        </w:rPr>
      </w:pPr>
    </w:p>
    <w:p>
      <w:pPr>
        <w:jc w:val="both"/>
        <w:ind w:firstLine="309"/>
        <w:spacing w:after="0" w:line="263" w:lineRule="auto"/>
        <w:rPr>
          <w:sz w:val="20"/>
          <w:szCs w:val="20"/>
          <w:color w:val="auto"/>
        </w:rPr>
      </w:pPr>
      <w:r>
        <w:rPr>
          <w:rFonts w:ascii="Times New Roman" w:cs="Times New Roman" w:eastAsia="Times New Roman" w:hAnsi="Times New Roman"/>
          <w:sz w:val="15"/>
          <w:szCs w:val="15"/>
          <w:color w:val="auto"/>
        </w:rPr>
        <w:t>Our clinical laboratories are subject to federal oversight under the Clinical Laboratory Improvement Amendments of 1988 ("CLIA") which extends federal oversight to virtually all clinical laboratories by requiring that they be certified by the federal government or by a federally-approved accreditation agency. CLIA requires that all clinical laboratories meet quality assurance, quality control and personnel standards. Laboratories also must undergo proficiency testing and are subject to inspections. Standards for testing under CLIA are based on the complexity of the tests performed by the laboratory, with tests classified as "high complexity," "moderate complexity," or "waived." Laboratories performing high complexity testing are required to meet more stringent requirements than moderate complexity laboratories. Laboratories performing only waived tests, which are tests determined by the Food and Drug Administration to have a low potential for error and requiring little oversight, may apply for a certificate of waiver exempting them from most of the requirements of CLIA. Our operations also subject to state and local laboratory regulation. CLIA provides that a state may adopt laboratory regulations different from or more stringent than those under federal law, and a number of states have implemented their own laboratory regulatory requirements. State laws may require that laboratory personnel meet certain qualifications, specify certain quality controls, or require maintenance of certain records. We believe that we are in material compliance with all applicable laboratory requirements, but no assurances can be given that our laboratories will pass all future licensure or certification inspections.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Regulatory Compliance Program</w:t>
      </w:r>
    </w:p>
    <w:p>
      <w:pPr>
        <w:spacing w:after="0" w:line="128" w:lineRule="exact"/>
        <w:rPr>
          <w:sz w:val="20"/>
          <w:szCs w:val="20"/>
          <w:color w:val="auto"/>
        </w:rPr>
      </w:pPr>
    </w:p>
    <w:p>
      <w:pPr>
        <w:jc w:val="both"/>
        <w:ind w:firstLine="309"/>
        <w:spacing w:after="0" w:line="289" w:lineRule="auto"/>
        <w:rPr>
          <w:sz w:val="20"/>
          <w:szCs w:val="20"/>
          <w:color w:val="auto"/>
        </w:rPr>
      </w:pPr>
      <w:r>
        <w:rPr>
          <w:rFonts w:ascii="Times New Roman" w:cs="Times New Roman" w:eastAsia="Times New Roman" w:hAnsi="Times New Roman"/>
          <w:sz w:val="15"/>
          <w:szCs w:val="15"/>
          <w:color w:val="auto"/>
        </w:rPr>
        <w:t>We have in place and continue to enhance a company-wide compliance program that focuses on all areas of regulatory compliance including billing, reimbursement, cost reporting practices and contractual arrangements with referral sources.</w:t>
      </w:r>
    </w:p>
    <w:p>
      <w:pPr>
        <w:spacing w:after="0" w:line="62" w:lineRule="exact"/>
        <w:rPr>
          <w:sz w:val="20"/>
          <w:szCs w:val="20"/>
          <w:color w:val="auto"/>
        </w:rPr>
      </w:pPr>
    </w:p>
    <w:p>
      <w:pPr>
        <w:jc w:val="both"/>
        <w:ind w:firstLine="309"/>
        <w:spacing w:after="0" w:line="263" w:lineRule="auto"/>
        <w:rPr>
          <w:sz w:val="20"/>
          <w:szCs w:val="20"/>
          <w:color w:val="auto"/>
        </w:rPr>
      </w:pPr>
      <w:r>
        <w:rPr>
          <w:rFonts w:ascii="Times New Roman" w:cs="Times New Roman" w:eastAsia="Times New Roman" w:hAnsi="Times New Roman"/>
          <w:sz w:val="15"/>
          <w:szCs w:val="15"/>
          <w:color w:val="auto"/>
        </w:rPr>
        <w:t xml:space="preserve">This regulatory compliance program is intended to help ensure that high standards of conduct are maintained in the operation of our business and that policies and procedures are implemented so that employees act in compliance with applicable laws, regulations and company policies. Under the regulatory compliance program, every employee and certain contractors involved in patient care, and coding and billing, receive initial and periodic legal compliance and ethics training. In addition, we regularly monitor our ongoing compliance efforts and develop and implement policies and procedures designed to foster compliance with the law. The program also includes a mechanism for employees to report, without fear of retaliation, any suspected legal or ethical violations to their supervisors, designated compliance officers in our facilities, our compliance hotline or directly to our corporate compliance office. We believe our compliance program is consistent with standard industry practices. However, we cannot provide any assurances that our compliance program will detect all violations of law or protect against </w:t>
      </w:r>
      <w:r>
        <w:rPr>
          <w:rFonts w:ascii="Times New Roman" w:cs="Times New Roman" w:eastAsia="Times New Roman" w:hAnsi="Times New Roman"/>
          <w:sz w:val="15"/>
          <w:szCs w:val="15"/>
          <w:i w:val="1"/>
          <w:iCs w:val="1"/>
          <w:color w:val="auto"/>
        </w:rPr>
        <w:t>qui tam</w:t>
      </w:r>
      <w:r>
        <w:rPr>
          <w:rFonts w:ascii="Times New Roman" w:cs="Times New Roman" w:eastAsia="Times New Roman" w:hAnsi="Times New Roman"/>
          <w:sz w:val="15"/>
          <w:szCs w:val="15"/>
          <w:color w:val="auto"/>
        </w:rPr>
        <w:t xml:space="preserve"> suits or government enforcement actions.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Where You Can Find More Information</w:t>
      </w:r>
    </w:p>
    <w:p>
      <w:pPr>
        <w:spacing w:after="0" w:line="128" w:lineRule="exact"/>
        <w:rPr>
          <w:sz w:val="20"/>
          <w:szCs w:val="20"/>
          <w:color w:val="auto"/>
        </w:rPr>
      </w:pPr>
    </w:p>
    <w:p>
      <w:pPr>
        <w:jc w:val="both"/>
        <w:ind w:firstLine="309"/>
        <w:spacing w:after="0" w:line="269" w:lineRule="auto"/>
        <w:rPr>
          <w:sz w:val="20"/>
          <w:szCs w:val="20"/>
          <w:color w:val="auto"/>
        </w:rPr>
      </w:pPr>
      <w:r>
        <w:rPr>
          <w:rFonts w:ascii="Times New Roman" w:cs="Times New Roman" w:eastAsia="Times New Roman" w:hAnsi="Times New Roman"/>
          <w:sz w:val="15"/>
          <w:szCs w:val="15"/>
          <w:color w:val="auto"/>
        </w:rPr>
        <w:t>We make available on or through the "Investors-SEC Filings" page of our website at www.surgerypartners.com, free of charge, copies of reports, such as Annual Reports on Form 10-K, Quarterly Reports on Form 10-Q and Current Reports on Form 8-K, and amendments to those reports (along with certain other Company filings with the SEC), as soon as reasonably practicable after electronically filing such material with, or furnishing it to, the SEC. The information found on, or otherwise accessible through, our website is not incorporated by reference into, nor does it form a part of, this Annual Report or any other document that we file with the SEC.</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2"/>
          <w:szCs w:val="12"/>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1A. Risk Factors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Risk Factors Summary</w:t>
      </w:r>
    </w:p>
    <w:p>
      <w:pPr>
        <w:spacing w:after="0" w:line="102" w:lineRule="exact"/>
        <w:rPr>
          <w:sz w:val="20"/>
          <w:szCs w:val="20"/>
          <w:color w:val="auto"/>
        </w:rPr>
      </w:pPr>
    </w:p>
    <w:p>
      <w:pPr>
        <w:jc w:val="both"/>
        <w:ind w:firstLine="309"/>
        <w:spacing w:after="0" w:line="279" w:lineRule="auto"/>
        <w:rPr>
          <w:sz w:val="20"/>
          <w:szCs w:val="20"/>
          <w:color w:val="auto"/>
        </w:rPr>
      </w:pPr>
      <w:r>
        <w:rPr>
          <w:rFonts w:ascii="Times New Roman" w:cs="Times New Roman" w:eastAsia="Times New Roman" w:hAnsi="Times New Roman"/>
          <w:sz w:val="15"/>
          <w:szCs w:val="15"/>
          <w:color w:val="auto"/>
        </w:rPr>
        <w:t>Below is a summary of the principal factors that make an investment in our common stock speculative or risky. This summary does not address all of the risks that we face. A discussion of the risks we face can be found below under the heading "Risk Factors" and should be carefully considered, together with other information in this Annual Report and our other filings with the SEC, before making an investment decision regarding our common stock.</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Business and Operational Risks</w:t>
      </w:r>
    </w:p>
    <w:p>
      <w:pPr>
        <w:spacing w:after="0" w:line="128" w:lineRule="exact"/>
        <w:rPr>
          <w:sz w:val="20"/>
          <w:szCs w:val="20"/>
          <w:color w:val="auto"/>
        </w:rPr>
      </w:pPr>
    </w:p>
    <w:p>
      <w:pPr>
        <w:ind w:left="620" w:hanging="307"/>
        <w:spacing w:after="0" w:line="289" w:lineRule="auto"/>
        <w:tabs>
          <w:tab w:leader="none" w:pos="609"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depend on payments from third-party payors, including government health care programs and private insurance organizations. If these payments are reduced or eliminated, our revenue and profitability could be materially and adversely affected.</w:t>
      </w:r>
    </w:p>
    <w:p>
      <w:pPr>
        <w:spacing w:after="0" w:line="48" w:lineRule="exact"/>
        <w:rPr>
          <w:rFonts w:ascii="Times New Roman" w:cs="Times New Roman" w:eastAsia="Times New Roman" w:hAnsi="Times New Roman"/>
          <w:sz w:val="15"/>
          <w:szCs w:val="15"/>
          <w:color w:val="auto"/>
        </w:rPr>
      </w:pPr>
    </w:p>
    <w:p>
      <w:pPr>
        <w:ind w:left="620" w:hanging="307"/>
        <w:spacing w:after="0" w:line="307" w:lineRule="auto"/>
        <w:tabs>
          <w:tab w:leader="none" w:pos="609"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we are unable to negotiate and enter into favorable contracts or maintain satisfactory relationships and renew existing contracts on favorable terms with private insurance payors, our revenue and profitability may decrease.</w:t>
      </w:r>
    </w:p>
    <w:p>
      <w:pPr>
        <w:spacing w:after="0" w:line="35" w:lineRule="exact"/>
        <w:rPr>
          <w:rFonts w:ascii="Times New Roman" w:cs="Times New Roman" w:eastAsia="Times New Roman" w:hAnsi="Times New Roman"/>
          <w:sz w:val="15"/>
          <w:szCs w:val="15"/>
          <w:color w:val="auto"/>
        </w:rPr>
      </w:pPr>
    </w:p>
    <w:p>
      <w:pPr>
        <w:ind w:left="620" w:hanging="307"/>
        <w:spacing w:after="0" w:line="307" w:lineRule="auto"/>
        <w:tabs>
          <w:tab w:leader="none" w:pos="609"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Significant changes in our payor mix or surgical case mix resulting from fluctuations in the types of cases performed at our facilities could have a material adverse effect on our business, prospects, results of operations and financial condition.</w:t>
      </w:r>
    </w:p>
    <w:p>
      <w:pPr>
        <w:spacing w:after="0" w:line="35" w:lineRule="exact"/>
        <w:rPr>
          <w:rFonts w:ascii="Times New Roman" w:cs="Times New Roman" w:eastAsia="Times New Roman" w:hAnsi="Times New Roman"/>
          <w:sz w:val="15"/>
          <w:szCs w:val="15"/>
          <w:color w:val="auto"/>
        </w:rPr>
      </w:pPr>
    </w:p>
    <w:p>
      <w:pPr>
        <w:ind w:left="620" w:hanging="307"/>
        <w:spacing w:after="0" w:line="289" w:lineRule="auto"/>
        <w:tabs>
          <w:tab w:leader="none" w:pos="609"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provide medical services at our facilities would be impaired and our revenue reduced if we are not able to maintain good relationships with affiliated physicians who utilize our surgical facilities.</w:t>
      </w:r>
    </w:p>
    <w:p>
      <w:pPr>
        <w:spacing w:after="0" w:line="61" w:lineRule="exact"/>
        <w:rPr>
          <w:rFonts w:ascii="Times New Roman" w:cs="Times New Roman" w:eastAsia="Times New Roman" w:hAnsi="Times New Roman"/>
          <w:sz w:val="15"/>
          <w:szCs w:val="15"/>
          <w:color w:val="auto"/>
        </w:rPr>
      </w:pPr>
    </w:p>
    <w:p>
      <w:pPr>
        <w:jc w:val="both"/>
        <w:ind w:left="620" w:hanging="307"/>
        <w:spacing w:after="0" w:line="292" w:lineRule="auto"/>
        <w:tabs>
          <w:tab w:leader="none" w:pos="609"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growth strategy depends in part on our ability to integrate operations of acquired surgical facilities, attract new physician partners, and to acquire and develop additional surgical facilities on favorable terms. If we are unable to achieve any of these goals, our future growth could be limited and our operating results could be adversely affected.</w:t>
      </w:r>
    </w:p>
    <w:p>
      <w:pPr>
        <w:spacing w:after="0" w:line="237" w:lineRule="exact"/>
        <w:rPr>
          <w:rFonts w:ascii="Times New Roman" w:cs="Times New Roman" w:eastAsia="Times New Roman" w:hAnsi="Times New Roman"/>
          <w:sz w:val="15"/>
          <w:szCs w:val="15"/>
          <w:color w:val="auto"/>
        </w:rPr>
      </w:pPr>
    </w:p>
    <w:p>
      <w:pPr>
        <w:ind w:left="620" w:hanging="307"/>
        <w:spacing w:after="0" w:line="289" w:lineRule="auto"/>
        <w:tabs>
          <w:tab w:leader="none" w:pos="609"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Shortages of surgery-related products, equipment and medical supplies and quality control issues with such products, equipment and medical supplies could disrupt our operations and adversely affect our case volume, surgical case mix and profitability.</w:t>
      </w:r>
    </w:p>
    <w:p>
      <w:pPr>
        <w:spacing w:after="0" w:line="61" w:lineRule="exact"/>
        <w:rPr>
          <w:rFonts w:ascii="Times New Roman" w:cs="Times New Roman" w:eastAsia="Times New Roman" w:hAnsi="Times New Roman"/>
          <w:sz w:val="15"/>
          <w:szCs w:val="15"/>
          <w:color w:val="auto"/>
        </w:rPr>
      </w:pPr>
    </w:p>
    <w:p>
      <w:pPr>
        <w:ind w:left="620" w:hanging="307"/>
        <w:spacing w:after="0"/>
        <w:tabs>
          <w:tab w:leader="none" w:pos="62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face competition from other health care facilities and providers.</w:t>
      </w:r>
    </w:p>
    <w:p>
      <w:pPr>
        <w:spacing w:after="0" w:line="111" w:lineRule="exact"/>
        <w:rPr>
          <w:rFonts w:ascii="Times New Roman" w:cs="Times New Roman" w:eastAsia="Times New Roman" w:hAnsi="Times New Roman"/>
          <w:sz w:val="15"/>
          <w:szCs w:val="15"/>
          <w:color w:val="auto"/>
        </w:rPr>
      </w:pPr>
    </w:p>
    <w:p>
      <w:pPr>
        <w:ind w:left="620" w:hanging="307"/>
        <w:spacing w:after="0" w:line="307" w:lineRule="auto"/>
        <w:tabs>
          <w:tab w:leader="none" w:pos="609"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Competition for physicians and clinical personnel, including nurses, shortages of qualified personnel or other factors could increase our labor costs and adversely affect our revenue, profitability and cash flows.</w:t>
      </w:r>
    </w:p>
    <w:p>
      <w:pPr>
        <w:spacing w:after="0" w:line="35" w:lineRule="exact"/>
        <w:rPr>
          <w:rFonts w:ascii="Times New Roman" w:cs="Times New Roman" w:eastAsia="Times New Roman" w:hAnsi="Times New Roman"/>
          <w:sz w:val="15"/>
          <w:szCs w:val="15"/>
          <w:color w:val="auto"/>
        </w:rPr>
      </w:pPr>
    </w:p>
    <w:p>
      <w:pPr>
        <w:ind w:left="620" w:hanging="307"/>
        <w:spacing w:after="0" w:line="289" w:lineRule="auto"/>
        <w:tabs>
          <w:tab w:leader="none" w:pos="609"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Growth of patient receivables or deterioration in the ability to collect on these accounts, due to changes in economic conditions or otherwise, could have a material adverse effect on our business, prospects, results of operations and financial condition.</w:t>
      </w:r>
    </w:p>
    <w:p>
      <w:pPr>
        <w:spacing w:after="0" w:line="61" w:lineRule="exact"/>
        <w:rPr>
          <w:rFonts w:ascii="Times New Roman" w:cs="Times New Roman" w:eastAsia="Times New Roman" w:hAnsi="Times New Roman"/>
          <w:sz w:val="15"/>
          <w:szCs w:val="15"/>
          <w:color w:val="auto"/>
        </w:rPr>
      </w:pPr>
    </w:p>
    <w:p>
      <w:pPr>
        <w:ind w:left="620" w:hanging="307"/>
        <w:spacing w:after="0"/>
        <w:tabs>
          <w:tab w:leader="none" w:pos="62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we are unable to integrate and operate our information systems effectively or implement new systems and processes, our operations could be disrupted.</w:t>
      </w:r>
    </w:p>
    <w:p>
      <w:pPr>
        <w:spacing w:after="0" w:line="111" w:lineRule="exact"/>
        <w:rPr>
          <w:rFonts w:ascii="Times New Roman" w:cs="Times New Roman" w:eastAsia="Times New Roman" w:hAnsi="Times New Roman"/>
          <w:sz w:val="15"/>
          <w:szCs w:val="15"/>
          <w:color w:val="auto"/>
        </w:rPr>
      </w:pPr>
    </w:p>
    <w:p>
      <w:pPr>
        <w:ind w:left="620" w:hanging="307"/>
        <w:spacing w:after="0"/>
        <w:tabs>
          <w:tab w:leader="none" w:pos="62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pandemic, epidemic or outbreak of a contagious disease in the markets in which we operate or that otherwise impacts our facilities could adversely impact our business.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Financial and Accounting Risks</w:t>
      </w:r>
    </w:p>
    <w:p>
      <w:pPr>
        <w:spacing w:after="0" w:line="128" w:lineRule="exact"/>
        <w:rPr>
          <w:sz w:val="20"/>
          <w:szCs w:val="20"/>
          <w:color w:val="auto"/>
        </w:rPr>
      </w:pPr>
    </w:p>
    <w:p>
      <w:pPr>
        <w:ind w:left="620" w:hanging="307"/>
        <w:spacing w:after="0"/>
        <w:tabs>
          <w:tab w:leader="none" w:pos="62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have a history of net losses and may not achieve or sustain profitability in the future.</w:t>
      </w:r>
    </w:p>
    <w:p>
      <w:pPr>
        <w:spacing w:after="0" w:line="111" w:lineRule="exact"/>
        <w:rPr>
          <w:rFonts w:ascii="Times New Roman" w:cs="Times New Roman" w:eastAsia="Times New Roman" w:hAnsi="Times New Roman"/>
          <w:sz w:val="15"/>
          <w:szCs w:val="15"/>
          <w:color w:val="auto"/>
        </w:rPr>
      </w:pPr>
    </w:p>
    <w:p>
      <w:pPr>
        <w:ind w:left="620" w:hanging="307"/>
        <w:spacing w:after="0" w:line="307" w:lineRule="auto"/>
        <w:tabs>
          <w:tab w:leader="none" w:pos="609"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leverage could adversely affect our ability to raise additional capital to fund our operations, limit our ability to react to changes in the economy or our industry, expose us to interest rate risk to the extent of our variable rate debt and prevent us from meeting our obligations under our outstanding indebtedness.</w:t>
      </w:r>
    </w:p>
    <w:p>
      <w:pPr>
        <w:spacing w:after="0" w:line="35" w:lineRule="exact"/>
        <w:rPr>
          <w:rFonts w:ascii="Times New Roman" w:cs="Times New Roman" w:eastAsia="Times New Roman" w:hAnsi="Times New Roman"/>
          <w:sz w:val="15"/>
          <w:szCs w:val="15"/>
          <w:color w:val="auto"/>
        </w:rPr>
      </w:pPr>
    </w:p>
    <w:p>
      <w:pPr>
        <w:ind w:left="620" w:hanging="307"/>
        <w:spacing w:after="0" w:line="289" w:lineRule="auto"/>
        <w:tabs>
          <w:tab w:leader="none" w:pos="609"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service our indebtedness, we will require a significant amount of cash. Our ability to generate cash depends on many factors beyond our control, and any failure to meet our debt service obligations may adversely affect our business, financial condition and results of operations.</w:t>
      </w:r>
    </w:p>
    <w:p>
      <w:pPr>
        <w:spacing w:after="0" w:line="61" w:lineRule="exact"/>
        <w:rPr>
          <w:rFonts w:ascii="Times New Roman" w:cs="Times New Roman" w:eastAsia="Times New Roman" w:hAnsi="Times New Roman"/>
          <w:sz w:val="15"/>
          <w:szCs w:val="15"/>
          <w:color w:val="auto"/>
        </w:rPr>
      </w:pPr>
    </w:p>
    <w:p>
      <w:pPr>
        <w:ind w:left="620" w:hanging="307"/>
        <w:spacing w:after="0"/>
        <w:tabs>
          <w:tab w:leader="none" w:pos="62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Despite our current indebtedness levels, we and our subsidiaries may still be able to incur more debt, which could further exacerbate the risks associated with our leverage.</w:t>
      </w:r>
    </w:p>
    <w:p>
      <w:pPr>
        <w:spacing w:after="0" w:line="111" w:lineRule="exact"/>
        <w:rPr>
          <w:rFonts w:ascii="Times New Roman" w:cs="Times New Roman" w:eastAsia="Times New Roman" w:hAnsi="Times New Roman"/>
          <w:sz w:val="15"/>
          <w:szCs w:val="15"/>
          <w:color w:val="auto"/>
        </w:rPr>
      </w:pPr>
    </w:p>
    <w:p>
      <w:pPr>
        <w:ind w:left="620" w:hanging="307"/>
        <w:spacing w:after="0" w:line="307" w:lineRule="auto"/>
        <w:tabs>
          <w:tab w:leader="none" w:pos="609"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make significant loans to, and are generally liable for debts and other obligations of, the partnerships and limited liability companies that own and operate some of our surgical facilities.</w:t>
      </w:r>
    </w:p>
    <w:p>
      <w:pPr>
        <w:spacing w:after="0" w:line="35" w:lineRule="exact"/>
        <w:rPr>
          <w:rFonts w:ascii="Times New Roman" w:cs="Times New Roman" w:eastAsia="Times New Roman" w:hAnsi="Times New Roman"/>
          <w:sz w:val="15"/>
          <w:szCs w:val="15"/>
          <w:color w:val="auto"/>
        </w:rPr>
      </w:pPr>
    </w:p>
    <w:p>
      <w:pPr>
        <w:ind w:left="620" w:hanging="307"/>
        <w:spacing w:after="0"/>
        <w:tabs>
          <w:tab w:leader="none" w:pos="62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may be limited in our ability to utilize, or may not be able to utilize, net operating loss carryforwards to reduce our future tax liability.</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Cybersecurity and Data Risks</w:t>
      </w:r>
    </w:p>
    <w:p>
      <w:pPr>
        <w:spacing w:after="0" w:line="128" w:lineRule="exact"/>
        <w:rPr>
          <w:sz w:val="20"/>
          <w:szCs w:val="20"/>
          <w:color w:val="auto"/>
        </w:rPr>
      </w:pPr>
    </w:p>
    <w:p>
      <w:pPr>
        <w:ind w:left="620" w:hanging="307"/>
        <w:spacing w:after="0"/>
        <w:tabs>
          <w:tab w:leader="none" w:pos="62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Cybersecurity attacks or intrusions could adversely impact our businesses.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2"/>
          <w:szCs w:val="12"/>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620" w:hanging="307"/>
        <w:spacing w:after="0" w:line="289" w:lineRule="auto"/>
        <w:tabs>
          <w:tab w:leader="none" w:pos="609"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use and disclosure of personally identifiable information, including health information, is subject to federal and state privacy and security regulations, and our failure to comply with those regulations or to adequately secure the information we hold could result in significant liability or reputational harm.</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Legal and Regulatory Risks</w:t>
      </w:r>
    </w:p>
    <w:p>
      <w:pPr>
        <w:spacing w:after="0" w:line="115" w:lineRule="exact"/>
        <w:rPr>
          <w:sz w:val="20"/>
          <w:szCs w:val="20"/>
          <w:color w:val="auto"/>
        </w:rPr>
      </w:pPr>
    </w:p>
    <w:p>
      <w:pPr>
        <w:ind w:left="620" w:hanging="307"/>
        <w:spacing w:after="0" w:line="307" w:lineRule="auto"/>
        <w:tabs>
          <w:tab w:leader="none" w:pos="609"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cannot predict the effect that changes in healthcare laws, regulations, policies and government programs may have on our business, financial condition or results of operations.</w:t>
      </w:r>
    </w:p>
    <w:p>
      <w:pPr>
        <w:spacing w:after="0" w:line="35" w:lineRule="exact"/>
        <w:rPr>
          <w:rFonts w:ascii="Times New Roman" w:cs="Times New Roman" w:eastAsia="Times New Roman" w:hAnsi="Times New Roman"/>
          <w:sz w:val="15"/>
          <w:szCs w:val="15"/>
          <w:color w:val="auto"/>
        </w:rPr>
      </w:pPr>
    </w:p>
    <w:p>
      <w:pPr>
        <w:ind w:left="620" w:hanging="307"/>
        <w:spacing w:after="0" w:line="289" w:lineRule="auto"/>
        <w:tabs>
          <w:tab w:leader="none" w:pos="609"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we fail to comply with or otherwise incur liabilities under the numerous federal and state laws and regulations relating to the operation of our facilities, we could incur significant penalties or other costs or be required to make significant changes to our operations.</w:t>
      </w:r>
    </w:p>
    <w:p>
      <w:pPr>
        <w:spacing w:after="0" w:line="61" w:lineRule="exact"/>
        <w:rPr>
          <w:rFonts w:ascii="Times New Roman" w:cs="Times New Roman" w:eastAsia="Times New Roman" w:hAnsi="Times New Roman"/>
          <w:sz w:val="15"/>
          <w:szCs w:val="15"/>
          <w:color w:val="auto"/>
        </w:rPr>
      </w:pPr>
    </w:p>
    <w:p>
      <w:pPr>
        <w:jc w:val="both"/>
        <w:ind w:left="620" w:hanging="307"/>
        <w:spacing w:after="0" w:line="279" w:lineRule="auto"/>
        <w:tabs>
          <w:tab w:leader="none" w:pos="609"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surgical facilities do not satisfy the requirements for any of the safe harbors under the federal Anti-Kickback Statute. If a federal or state agency asserts a different position or enacts new laws in this regard, we could be subject to criminal and civil penalties, loss of licenses and exclusion from governmental programs, which may result in a substantial loss of revenue.</w:t>
      </w:r>
    </w:p>
    <w:p>
      <w:pPr>
        <w:spacing w:after="0" w:line="55" w:lineRule="exact"/>
        <w:rPr>
          <w:rFonts w:ascii="Times New Roman" w:cs="Times New Roman" w:eastAsia="Times New Roman" w:hAnsi="Times New Roman"/>
          <w:sz w:val="15"/>
          <w:szCs w:val="15"/>
          <w:color w:val="auto"/>
        </w:rPr>
      </w:pPr>
    </w:p>
    <w:p>
      <w:pPr>
        <w:ind w:left="620" w:hanging="307"/>
        <w:spacing w:after="0" w:line="289" w:lineRule="auto"/>
        <w:tabs>
          <w:tab w:leader="none" w:pos="609"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we fail to comply with physician self-referral laws as they are currently interpreted or may be interpreted in the future, or if other legislative restrictions are issued, we could incur substantial monetary penalties and a significant loss of revenue.</w:t>
      </w:r>
    </w:p>
    <w:p>
      <w:pPr>
        <w:spacing w:after="0" w:line="61" w:lineRule="exact"/>
        <w:rPr>
          <w:rFonts w:ascii="Times New Roman" w:cs="Times New Roman" w:eastAsia="Times New Roman" w:hAnsi="Times New Roman"/>
          <w:sz w:val="15"/>
          <w:szCs w:val="15"/>
          <w:color w:val="auto"/>
        </w:rPr>
      </w:pPr>
    </w:p>
    <w:p>
      <w:pPr>
        <w:ind w:left="620" w:hanging="307"/>
        <w:spacing w:after="0"/>
        <w:tabs>
          <w:tab w:leader="none" w:pos="62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Federal law restricts the ability of our surgical hospitals to expand capacity.</w:t>
      </w:r>
    </w:p>
    <w:p>
      <w:pPr>
        <w:spacing w:after="0" w:line="111" w:lineRule="exact"/>
        <w:rPr>
          <w:rFonts w:ascii="Times New Roman" w:cs="Times New Roman" w:eastAsia="Times New Roman" w:hAnsi="Times New Roman"/>
          <w:sz w:val="15"/>
          <w:szCs w:val="15"/>
          <w:color w:val="auto"/>
        </w:rPr>
      </w:pPr>
    </w:p>
    <w:p>
      <w:pPr>
        <w:ind w:left="620" w:hanging="307"/>
        <w:spacing w:after="0"/>
        <w:tabs>
          <w:tab w:leader="none" w:pos="62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Companies within the health care industry continue to be the subject of federal and state audits and investigations, including actions for false and other improper claims.</w:t>
      </w:r>
    </w:p>
    <w:p>
      <w:pPr>
        <w:spacing w:after="0" w:line="111" w:lineRule="exact"/>
        <w:rPr>
          <w:rFonts w:ascii="Times New Roman" w:cs="Times New Roman" w:eastAsia="Times New Roman" w:hAnsi="Times New Roman"/>
          <w:sz w:val="15"/>
          <w:szCs w:val="15"/>
          <w:color w:val="auto"/>
        </w:rPr>
      </w:pPr>
    </w:p>
    <w:p>
      <w:pPr>
        <w:ind w:left="620" w:hanging="307"/>
        <w:spacing w:after="0"/>
        <w:tabs>
          <w:tab w:leader="none" w:pos="62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we become subject to large malpractice or other legal claims, we could be required to pay significant damages, which may not be covered by insurance.</w:t>
      </w:r>
    </w:p>
    <w:p>
      <w:pPr>
        <w:spacing w:after="0" w:line="124" w:lineRule="exact"/>
        <w:rPr>
          <w:rFonts w:ascii="Times New Roman" w:cs="Times New Roman" w:eastAsia="Times New Roman" w:hAnsi="Times New Roman"/>
          <w:sz w:val="15"/>
          <w:szCs w:val="15"/>
          <w:color w:val="auto"/>
        </w:rPr>
      </w:pPr>
    </w:p>
    <w:p>
      <w:pPr>
        <w:ind w:left="620" w:hanging="307"/>
        <w:spacing w:after="0"/>
        <w:tabs>
          <w:tab w:leader="none" w:pos="62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Failure to comply with Medicare’s conditions for coverage and conditions of participation may result in loss of program payment or other governmental sanctions.</w:t>
      </w:r>
    </w:p>
    <w:p>
      <w:pPr>
        <w:spacing w:after="0" w:line="111" w:lineRule="exact"/>
        <w:rPr>
          <w:rFonts w:ascii="Times New Roman" w:cs="Times New Roman" w:eastAsia="Times New Roman" w:hAnsi="Times New Roman"/>
          <w:sz w:val="15"/>
          <w:szCs w:val="15"/>
          <w:color w:val="auto"/>
        </w:rPr>
      </w:pPr>
    </w:p>
    <w:p>
      <w:pPr>
        <w:ind w:left="620" w:hanging="307"/>
        <w:spacing w:after="0"/>
        <w:tabs>
          <w:tab w:leader="none" w:pos="62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facilities could face decreased Medicare payments if they fail to report and meet various quality metrics.</w:t>
      </w:r>
    </w:p>
    <w:p>
      <w:pPr>
        <w:spacing w:after="0" w:line="124" w:lineRule="exact"/>
        <w:rPr>
          <w:rFonts w:ascii="Times New Roman" w:cs="Times New Roman" w:eastAsia="Times New Roman" w:hAnsi="Times New Roman"/>
          <w:sz w:val="15"/>
          <w:szCs w:val="15"/>
          <w:color w:val="auto"/>
        </w:rPr>
      </w:pPr>
    </w:p>
    <w:p>
      <w:pPr>
        <w:jc w:val="both"/>
        <w:ind w:left="620" w:hanging="307"/>
        <w:spacing w:after="0" w:line="270" w:lineRule="auto"/>
        <w:tabs>
          <w:tab w:leader="none" w:pos="609"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antitrust enforcement authorities conclude that our market share in any particular market is too concentrated, that our or our health system partners’ commercial payor contract negotiating practices are illegal, or that we otherwise violate antitrust laws, we could be subject to enforcement actions that could have a material adverse effect on our business, prospects, results of operations and financial condition.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Governance Risks</w:t>
      </w:r>
    </w:p>
    <w:p>
      <w:pPr>
        <w:spacing w:after="0" w:line="115" w:lineRule="exact"/>
        <w:rPr>
          <w:sz w:val="20"/>
          <w:szCs w:val="20"/>
          <w:color w:val="auto"/>
        </w:rPr>
      </w:pPr>
    </w:p>
    <w:p>
      <w:pPr>
        <w:ind w:left="620" w:hanging="307"/>
        <w:spacing w:after="0" w:line="307" w:lineRule="auto"/>
        <w:tabs>
          <w:tab w:leader="none" w:pos="609"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largest stockholder has significant influence over us, including influence over decisions that require the approval of stockholders, which could limit our stockholders’ ability to influence the outcome of key transactions, including a change of control.</w:t>
      </w:r>
    </w:p>
    <w:p>
      <w:pPr>
        <w:spacing w:after="0" w:line="35" w:lineRule="exact"/>
        <w:rPr>
          <w:rFonts w:ascii="Times New Roman" w:cs="Times New Roman" w:eastAsia="Times New Roman" w:hAnsi="Times New Roman"/>
          <w:sz w:val="15"/>
          <w:szCs w:val="15"/>
          <w:color w:val="auto"/>
        </w:rPr>
      </w:pPr>
    </w:p>
    <w:p>
      <w:pPr>
        <w:ind w:left="620" w:hanging="307"/>
        <w:spacing w:after="0" w:line="289" w:lineRule="auto"/>
        <w:tabs>
          <w:tab w:leader="none" w:pos="609"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Provisions in the certificate of designation governing our preferred stock and in our charter documents and Delaware law may deter takeover efforts that could be beneficial to stockholder value.</w:t>
      </w:r>
    </w:p>
    <w:p>
      <w:pPr>
        <w:spacing w:after="0" w:line="61" w:lineRule="exact"/>
        <w:rPr>
          <w:rFonts w:ascii="Times New Roman" w:cs="Times New Roman" w:eastAsia="Times New Roman" w:hAnsi="Times New Roman"/>
          <w:sz w:val="15"/>
          <w:szCs w:val="15"/>
          <w:color w:val="auto"/>
        </w:rPr>
      </w:pPr>
    </w:p>
    <w:p>
      <w:pPr>
        <w:jc w:val="both"/>
        <w:ind w:left="620" w:hanging="307"/>
        <w:spacing w:after="0" w:line="292" w:lineRule="auto"/>
        <w:tabs>
          <w:tab w:leader="none" w:pos="609"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amended and restated certificate of incorporation designates courts in the State of Delaware as the sole and exclusive forum for certain types of actions and proceedings that may be initiated by our stockholders, which could limit our stockholders’ ability to obtain a favorable judicial forum for disputes with us or our directors, officers or employees.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Risk Factors</w:t>
      </w:r>
    </w:p>
    <w:p>
      <w:pPr>
        <w:spacing w:after="0" w:line="102" w:lineRule="exact"/>
        <w:rPr>
          <w:sz w:val="20"/>
          <w:szCs w:val="20"/>
          <w:color w:val="auto"/>
        </w:rPr>
      </w:pPr>
    </w:p>
    <w:p>
      <w:pPr>
        <w:jc w:val="both"/>
        <w:ind w:firstLine="309"/>
        <w:spacing w:after="0" w:line="279" w:lineRule="auto"/>
        <w:rPr>
          <w:sz w:val="20"/>
          <w:szCs w:val="20"/>
          <w:color w:val="auto"/>
        </w:rPr>
      </w:pPr>
      <w:r>
        <w:rPr>
          <w:rFonts w:ascii="Times New Roman" w:cs="Times New Roman" w:eastAsia="Times New Roman" w:hAnsi="Times New Roman"/>
          <w:sz w:val="15"/>
          <w:szCs w:val="15"/>
          <w:color w:val="auto"/>
        </w:rPr>
        <w:t>We are subject to risks and uncertainties that could cause our actual financial condition, results of operations, business and prospects to differ materially from those described in the forward-looking statements contained in this report or in our other filings with the SEC. Some of these risks and uncertainties are discussed below. If any of the following risks, or other risks and uncertainties, actually occurred, our business, financial condition and operating results could suffer.</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Business and Operational Risks</w:t>
      </w:r>
    </w:p>
    <w:p>
      <w:pPr>
        <w:spacing w:after="0" w:line="124"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5"/>
          <w:szCs w:val="15"/>
          <w:b w:val="1"/>
          <w:bCs w:val="1"/>
          <w:color w:val="auto"/>
        </w:rPr>
        <w:t>We depend on payments from third-party payors, including government health care programs and private insurance organizations. If these payments are reduced or eliminated, our revenue and profitability could be materially and adversely affected.</w:t>
      </w:r>
    </w:p>
    <w:p>
      <w:pPr>
        <w:spacing w:after="0" w:line="46" w:lineRule="exact"/>
        <w:rPr>
          <w:sz w:val="20"/>
          <w:szCs w:val="20"/>
          <w:color w:val="auto"/>
        </w:rPr>
      </w:pPr>
    </w:p>
    <w:p>
      <w:pPr>
        <w:jc w:val="both"/>
        <w:ind w:firstLine="309"/>
        <w:spacing w:after="0" w:line="269" w:lineRule="auto"/>
        <w:rPr>
          <w:sz w:val="20"/>
          <w:szCs w:val="20"/>
          <w:color w:val="auto"/>
        </w:rPr>
      </w:pPr>
      <w:r>
        <w:rPr>
          <w:rFonts w:ascii="Times New Roman" w:cs="Times New Roman" w:eastAsia="Times New Roman" w:hAnsi="Times New Roman"/>
          <w:sz w:val="15"/>
          <w:szCs w:val="15"/>
          <w:color w:val="auto"/>
        </w:rPr>
        <w:t>We depend upon private and governmental third-party sources of payment for the services provided by physicians in our physician network and to patients in our surgical facilities, including surgical hospitals. We derived approximately 43%, 41% and 42% of our revenue from government payors, including Medicare and Medicaid programs in 2025, 2024 and 2023, respectively. The amounts that we receive from the Medicare and Medicaid programs for our services are subject to statutory and regulatory changes, administrative rulings, interpretations and determinations concerning patient eligibility requirements, funding levels and the method of calculating payments or reimbursements, among other things; refinements to the Medicare Ambulatory Surgery Center payment system and refinements made by</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2"/>
          <w:szCs w:val="12"/>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5"/>
          <w:szCs w:val="15"/>
          <w:color w:val="auto"/>
        </w:rPr>
        <w:t>CMS to Medicare’s reimbursement policies; requirements for utilization review; and federal and state funding restrictions; any of which could materially adversely affect payments we receive from these government programs, as well as affect the timing of payments to our facilities.</w:t>
      </w:r>
    </w:p>
    <w:p>
      <w:pPr>
        <w:spacing w:after="0" w:line="62" w:lineRule="exact"/>
        <w:rPr>
          <w:sz w:val="20"/>
          <w:szCs w:val="20"/>
          <w:color w:val="auto"/>
        </w:rPr>
      </w:pPr>
    </w:p>
    <w:p>
      <w:pPr>
        <w:jc w:val="both"/>
        <w:ind w:firstLine="309"/>
        <w:spacing w:after="0" w:line="265" w:lineRule="auto"/>
        <w:rPr>
          <w:sz w:val="20"/>
          <w:szCs w:val="20"/>
          <w:color w:val="auto"/>
        </w:rPr>
      </w:pPr>
      <w:r>
        <w:rPr>
          <w:rFonts w:ascii="Times New Roman" w:cs="Times New Roman" w:eastAsia="Times New Roman" w:hAnsi="Times New Roman"/>
          <w:sz w:val="15"/>
          <w:szCs w:val="15"/>
          <w:color w:val="auto"/>
        </w:rPr>
        <w:t>During the past several years, health care payors, such as federal and state governments, insurance companies and employers, have undertaken initiatives to revise payment methodologies and monitor health care costs. As part of their efforts to contain health care costs, payors increasingly are demanding discounted fee structures or the assumption by health care providers of all or a portion of the financial risk relating to paying for care provided, often in exchange for exclusive or preferred participation in their benefit plans. We expect efforts to impose greater discounts and more stringent cost controls by government and other payors to continue, thereby reducing the payments we receive for our services. Similarly, private third-party payors may be successful in negotiating reduced reimbursement schedules with our facilities.</w:t>
      </w:r>
    </w:p>
    <w:p>
      <w:pPr>
        <w:spacing w:after="0" w:line="79" w:lineRule="exact"/>
        <w:rPr>
          <w:sz w:val="20"/>
          <w:szCs w:val="20"/>
          <w:color w:val="auto"/>
        </w:rPr>
      </w:pPr>
    </w:p>
    <w:p>
      <w:pPr>
        <w:jc w:val="both"/>
        <w:ind w:firstLine="309"/>
        <w:spacing w:after="0" w:line="265" w:lineRule="auto"/>
        <w:rPr>
          <w:sz w:val="20"/>
          <w:szCs w:val="20"/>
          <w:color w:val="auto"/>
        </w:rPr>
      </w:pPr>
      <w:r>
        <w:rPr>
          <w:rFonts w:ascii="Times New Roman" w:cs="Times New Roman" w:eastAsia="Times New Roman" w:hAnsi="Times New Roman"/>
          <w:sz w:val="15"/>
          <w:szCs w:val="15"/>
          <w:color w:val="auto"/>
        </w:rPr>
        <w:t>Controls imposed by Medicare, Medicaid and private insurance payors designed to reduce surgical and other procedure volumes, in some instances referred to as "utilization review," could adversely affect our facilities. Although we are unable to predict the effect these changes will have on our operations, significant limits on the scope of services reimbursed and on reimbursement rates and fees may reduce our revenue and profitability. Additionally, trends in physician treatment protocols and private insurance plan design, such as plans that shift increased costs and accountability for care to patients, could reduce our surgical and other procedure volumes in favor of lower intensity and lower cost treatment methodologies, each of which could, in turn, have a material adverse effect on our business, prospects, results of operations and financial condition.</w:t>
      </w:r>
    </w:p>
    <w:p>
      <w:pPr>
        <w:spacing w:after="0" w:line="79" w:lineRule="exact"/>
        <w:rPr>
          <w:sz w:val="20"/>
          <w:szCs w:val="20"/>
          <w:color w:val="auto"/>
        </w:rPr>
      </w:pPr>
    </w:p>
    <w:p>
      <w:pPr>
        <w:jc w:val="both"/>
        <w:ind w:firstLine="309"/>
        <w:spacing w:after="0" w:line="270" w:lineRule="auto"/>
        <w:rPr>
          <w:sz w:val="20"/>
          <w:szCs w:val="20"/>
          <w:color w:val="auto"/>
        </w:rPr>
      </w:pPr>
      <w:r>
        <w:rPr>
          <w:rFonts w:ascii="Times New Roman" w:cs="Times New Roman" w:eastAsia="Times New Roman" w:hAnsi="Times New Roman"/>
          <w:sz w:val="15"/>
          <w:szCs w:val="15"/>
          <w:color w:val="auto"/>
        </w:rPr>
        <w:t>Fixed fee schedules, capitation payment arrangements, exclusion from participation in or inability to reach agreements with private insurance organizations, reduction or elimination of payments or an increase in the payments at a rate that is less than the increase in our costs, or other factors affecting payments for health care services over which we have no control could have a material adverse effect on our business, prospects, results of operations and financial condition.</w:t>
      </w:r>
    </w:p>
    <w:p>
      <w:pPr>
        <w:spacing w:after="0" w:line="71"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5"/>
          <w:szCs w:val="15"/>
          <w:b w:val="1"/>
          <w:bCs w:val="1"/>
          <w:color w:val="auto"/>
        </w:rPr>
        <w:t>If we are unable to negotiate and enter into favorable contracts or maintain satisfactory relationships and renew existing contracts on favorable terms with private insurance payors, our revenue and profitability may decrease.</w:t>
      </w:r>
    </w:p>
    <w:p>
      <w:pPr>
        <w:spacing w:after="0" w:line="58" w:lineRule="exact"/>
        <w:rPr>
          <w:sz w:val="20"/>
          <w:szCs w:val="20"/>
          <w:color w:val="auto"/>
        </w:rPr>
      </w:pPr>
    </w:p>
    <w:p>
      <w:pPr>
        <w:jc w:val="both"/>
        <w:ind w:firstLine="309"/>
        <w:spacing w:after="0" w:line="265" w:lineRule="auto"/>
        <w:rPr>
          <w:sz w:val="20"/>
          <w:szCs w:val="20"/>
          <w:color w:val="auto"/>
        </w:rPr>
      </w:pPr>
      <w:r>
        <w:rPr>
          <w:rFonts w:ascii="Times New Roman" w:cs="Times New Roman" w:eastAsia="Times New Roman" w:hAnsi="Times New Roman"/>
          <w:sz w:val="15"/>
          <w:szCs w:val="15"/>
          <w:color w:val="auto"/>
        </w:rPr>
        <w:t>Payments from private insurance payors, including state workers’ compensation programs and managed care organizations, represented approximately 52%, 54% and 53% of our patient service revenue in 2025, 2024 and 2023, respectively. Most of these payments came from private insurance payors with which our facilities have contracts. If we fail to enter into favorable contracts or maintain satisfactory relationships with private insurance organizations, our revenue may decrease. Our competitive position has been, and will continue to be, affected by initiatives undertaken during the past several years by major purchasers of health care services, including insurance companies and employers, to revise payment methods and monitor health care expenditures in an effort to contain health care costs.</w:t>
      </w:r>
    </w:p>
    <w:p>
      <w:pPr>
        <w:spacing w:after="0" w:line="79" w:lineRule="exact"/>
        <w:rPr>
          <w:sz w:val="20"/>
          <w:szCs w:val="20"/>
          <w:color w:val="auto"/>
        </w:rPr>
      </w:pPr>
    </w:p>
    <w:p>
      <w:pPr>
        <w:jc w:val="both"/>
        <w:ind w:firstLine="309"/>
        <w:spacing w:after="0" w:line="261" w:lineRule="auto"/>
        <w:rPr>
          <w:sz w:val="20"/>
          <w:szCs w:val="20"/>
          <w:color w:val="auto"/>
        </w:rPr>
      </w:pPr>
      <w:r>
        <w:rPr>
          <w:rFonts w:ascii="Times New Roman" w:cs="Times New Roman" w:eastAsia="Times New Roman" w:hAnsi="Times New Roman"/>
          <w:sz w:val="15"/>
          <w:szCs w:val="15"/>
          <w:color w:val="auto"/>
        </w:rPr>
        <w:t>Some of our payments from private insurance payors come from payors with which our facilities or subsidiaries do not have a contract. If we provide services to a patient that does not use a private insurance payor with which we have contracted, commonly known as "out-of-network" services, we generally charge the patient the same co-payment or other patient responsibility amounts that we would have charged had our facilities had a contract with the payor. In accordance with insurance laws and regulations, we submit a claim for the services to the payor along with full disclosure that our surgical facility has charged the patient an in-network patient responsibility amount. Historically, it was typical for those private insurance payors who do not have contracts with our surgical facilities to pay our claims at higher than comparable contracted rates. However, in recent years we have observed an increase in private insurance payors adopting out-of-network fee schedules that are more comparable to our contracted rates or to take other steps to discourage their enrollees from seeking treatment at out-of-network surgical facilities. If the proportion of our services subject to out-of-network fee schedules increases, we may experience a decrease in volume at our ASCs or other facilities due to fewer referrals of out-of-network patients.</w:t>
      </w:r>
    </w:p>
    <w:p>
      <w:pPr>
        <w:spacing w:after="0" w:line="85" w:lineRule="exact"/>
        <w:rPr>
          <w:sz w:val="20"/>
          <w:szCs w:val="20"/>
          <w:color w:val="auto"/>
        </w:rPr>
      </w:pPr>
    </w:p>
    <w:p>
      <w:pPr>
        <w:jc w:val="both"/>
        <w:ind w:firstLine="309"/>
        <w:spacing w:after="0" w:line="279" w:lineRule="auto"/>
        <w:rPr>
          <w:sz w:val="20"/>
          <w:szCs w:val="20"/>
          <w:color w:val="auto"/>
        </w:rPr>
      </w:pPr>
      <w:r>
        <w:rPr>
          <w:rFonts w:ascii="Times New Roman" w:cs="Times New Roman" w:eastAsia="Times New Roman" w:hAnsi="Times New Roman"/>
          <w:sz w:val="15"/>
          <w:szCs w:val="15"/>
          <w:color w:val="auto"/>
        </w:rPr>
        <w:t>Additionally, payments from workers’ compensation payors represented approximately 4% of our patient service revenue in 2025, 2024 and 2023. A majority of states have implemented workers’ compensation provider fee schedules. In some cases, the fee schedule rates contain lower rates than the rates our surgical facilities have historically been paid for the same services. If states reduce the amounts paid to providers under the workers’ compensation fee schedules, it could have an adverse impact on our operating results.</w:t>
      </w:r>
    </w:p>
    <w:p>
      <w:pPr>
        <w:spacing w:after="0" w:line="52"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5"/>
          <w:szCs w:val="15"/>
          <w:b w:val="1"/>
          <w:bCs w:val="1"/>
          <w:color w:val="auto"/>
        </w:rPr>
        <w:t>Significant changes in our payor mix or surgical case mix resulting from fluctuations in the types of cases performed at our facilities could have a material adverse effect on our business, prospects, results of operations and financial condition.</w:t>
      </w:r>
    </w:p>
    <w:p>
      <w:pPr>
        <w:spacing w:after="0" w:line="58" w:lineRule="exact"/>
        <w:rPr>
          <w:sz w:val="20"/>
          <w:szCs w:val="20"/>
          <w:color w:val="auto"/>
        </w:rPr>
      </w:pPr>
    </w:p>
    <w:p>
      <w:pPr>
        <w:jc w:val="both"/>
        <w:ind w:firstLine="309"/>
        <w:spacing w:after="0" w:line="269" w:lineRule="auto"/>
        <w:rPr>
          <w:sz w:val="20"/>
          <w:szCs w:val="20"/>
          <w:color w:val="auto"/>
        </w:rPr>
      </w:pPr>
      <w:r>
        <w:rPr>
          <w:rFonts w:ascii="Times New Roman" w:cs="Times New Roman" w:eastAsia="Times New Roman" w:hAnsi="Times New Roman"/>
          <w:sz w:val="15"/>
          <w:szCs w:val="15"/>
          <w:color w:val="auto"/>
        </w:rPr>
        <w:t>Our results may change from period to period due to fluctuations in payor mix or case mix or other factors relating to the type of cases performed at our facilities. Since, generally speaking, we receive relatively higher payment rates from private insurers than Medicare, Medicaid and other government-funded programs, a significant shift in our payor mix toward a higher percentage of Medicare and Medicaid cases, which could occur for reasons beyond our control, could have an adverse effect on our business, prospects, results of operations and financial condition.</w:t>
      </w:r>
    </w:p>
    <w:p>
      <w:pPr>
        <w:spacing w:after="0" w:line="65" w:lineRule="exact"/>
        <w:rPr>
          <w:sz w:val="20"/>
          <w:szCs w:val="20"/>
          <w:color w:val="auto"/>
        </w:rPr>
      </w:pPr>
    </w:p>
    <w:p>
      <w:pPr>
        <w:jc w:val="both"/>
        <w:ind w:firstLine="309"/>
        <w:spacing w:after="0" w:line="307" w:lineRule="auto"/>
        <w:rPr>
          <w:sz w:val="20"/>
          <w:szCs w:val="20"/>
          <w:color w:val="auto"/>
        </w:rPr>
      </w:pPr>
      <w:r>
        <w:rPr>
          <w:rFonts w:ascii="Times New Roman" w:cs="Times New Roman" w:eastAsia="Times New Roman" w:hAnsi="Times New Roman"/>
          <w:sz w:val="15"/>
          <w:szCs w:val="15"/>
          <w:color w:val="auto"/>
        </w:rPr>
        <w:t>Additionally, a significant shift in our case mix toward a higher percentage of lower revenue cases, which could occur for reasons beyond our control, could result in a material adverse effect on our business, prospects, results of operations and financial condition.</w:t>
      </w:r>
    </w:p>
    <w:p>
      <w:pPr>
        <w:spacing w:after="0" w:line="36" w:lineRule="exact"/>
        <w:rPr>
          <w:sz w:val="20"/>
          <w:szCs w:val="20"/>
          <w:color w:val="auto"/>
        </w:rPr>
      </w:pPr>
    </w:p>
    <w:p>
      <w:pPr>
        <w:jc w:val="both"/>
        <w:ind w:firstLine="309"/>
        <w:spacing w:after="0" w:line="289" w:lineRule="auto"/>
        <w:rPr>
          <w:sz w:val="20"/>
          <w:szCs w:val="20"/>
          <w:color w:val="auto"/>
        </w:rPr>
      </w:pPr>
      <w:r>
        <w:rPr>
          <w:rFonts w:ascii="Times New Roman" w:cs="Times New Roman" w:eastAsia="Times New Roman" w:hAnsi="Times New Roman"/>
          <w:sz w:val="15"/>
          <w:szCs w:val="15"/>
          <w:color w:val="auto"/>
        </w:rPr>
        <w:t>Our case volume and surgical case mix may be adversely affected by patients’ unwillingness to pay for procedures in our facilities. Higher numbers of unemployed individuals generally translates into more individuals without health care insurance to help pay for</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2"/>
          <w:szCs w:val="12"/>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5"/>
          <w:szCs w:val="15"/>
          <w:color w:val="auto"/>
        </w:rPr>
        <w:t>procedures, thereby increasing the potential for persons to elect not to have procedures performed. Even procedures normally thought to be non-elective may be delayed or may not be performed if the patient cannot afford the procedure due to a lack of insurance or money to pay their portion of our facilities’ fee. It is difficult to predict the degree to which our business will continue to be impacted by economic conditions in the future.</w:t>
      </w:r>
    </w:p>
    <w:p>
      <w:pPr>
        <w:spacing w:after="0" w:line="56" w:lineRule="exact"/>
        <w:rPr>
          <w:sz w:val="20"/>
          <w:szCs w:val="20"/>
          <w:color w:val="auto"/>
        </w:rPr>
      </w:pPr>
    </w:p>
    <w:p>
      <w:pPr>
        <w:jc w:val="both"/>
        <w:ind w:firstLine="309"/>
        <w:spacing w:after="0" w:line="269" w:lineRule="auto"/>
        <w:rPr>
          <w:sz w:val="20"/>
          <w:szCs w:val="20"/>
          <w:color w:val="auto"/>
        </w:rPr>
      </w:pPr>
      <w:r>
        <w:rPr>
          <w:rFonts w:ascii="Times New Roman" w:cs="Times New Roman" w:eastAsia="Times New Roman" w:hAnsi="Times New Roman"/>
          <w:sz w:val="15"/>
          <w:szCs w:val="15"/>
          <w:color w:val="auto"/>
        </w:rPr>
        <w:t>As we operate in multiple markets, each with a different competitive landscape, shifts within our payor mix or case mix may not be uniform across all of our affiliated facilities. Rather, these shifts may be concentrated within certain markets due to local competitive factors. In addition, we are unable to predict the results of an increasing trend towards value based payment on our reimbursement. Therefore, the results of our individual affiliated facilities, including facilities that are material to our results, may be volatile, which could result in a material adverse effect on our business, prospects, results of operations and financial condition.</w:t>
      </w:r>
    </w:p>
    <w:p>
      <w:pPr>
        <w:spacing w:after="0" w:line="74"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5"/>
          <w:szCs w:val="15"/>
          <w:b w:val="1"/>
          <w:bCs w:val="1"/>
          <w:color w:val="auto"/>
        </w:rPr>
        <w:t>Our ability to provide medical services at our facilities would be impaired and our revenue reduced if we are not able to maintain good relationships with affiliated physicians who utilize our surgical facilities.</w:t>
      </w:r>
    </w:p>
    <w:p>
      <w:pPr>
        <w:spacing w:after="0" w:line="58" w:lineRule="exact"/>
        <w:rPr>
          <w:sz w:val="20"/>
          <w:szCs w:val="20"/>
          <w:color w:val="auto"/>
        </w:rPr>
      </w:pPr>
    </w:p>
    <w:p>
      <w:pPr>
        <w:jc w:val="both"/>
        <w:ind w:firstLine="309"/>
        <w:spacing w:after="0" w:line="263" w:lineRule="auto"/>
        <w:rPr>
          <w:sz w:val="20"/>
          <w:szCs w:val="20"/>
          <w:color w:val="auto"/>
        </w:rPr>
      </w:pPr>
      <w:r>
        <w:rPr>
          <w:rFonts w:ascii="Times New Roman" w:cs="Times New Roman" w:eastAsia="Times New Roman" w:hAnsi="Times New Roman"/>
          <w:sz w:val="15"/>
          <w:szCs w:val="15"/>
          <w:color w:val="auto"/>
        </w:rPr>
        <w:t>Our business depends, among other things, upon the efforts and success of affiliated physicians who provide medical services at our surgical facilities and the strength of our relationships with these physicians. Most physicians are not employees of our surgical facilities and are not contractually required to use our facilities. Physicians who use our surgical facilities also use other facilities or hospitals and may choose to perform procedures in an office-based setting that might otherwise be performed at our surgical facilities. In recent years, pain management and gastrointestinal procedures have been performed increasingly in an office-based setting because of potential cost savings or better access for patients and physicians. Although physicians who own interests in our surgical facilities are subject to agreements restricting ownership of competing facilities, these agreements may not restrict procedures performed in a physician office or in other unrelated facilities. Also, these agreements restricting ownership of competing facilities are difficult to enforce, and we may be unsuccessful in preventing physicians who own interests in our surgical facilities from acquiring interests in competing facilities.</w:t>
      </w:r>
    </w:p>
    <w:p>
      <w:pPr>
        <w:spacing w:after="0" w:line="69" w:lineRule="exact"/>
        <w:rPr>
          <w:sz w:val="20"/>
          <w:szCs w:val="20"/>
          <w:color w:val="auto"/>
        </w:rPr>
      </w:pPr>
    </w:p>
    <w:p>
      <w:pPr>
        <w:jc w:val="both"/>
        <w:ind w:firstLine="309"/>
        <w:spacing w:after="0" w:line="266" w:lineRule="auto"/>
        <w:rPr>
          <w:sz w:val="20"/>
          <w:szCs w:val="20"/>
          <w:color w:val="auto"/>
        </w:rPr>
      </w:pPr>
      <w:r>
        <w:rPr>
          <w:rFonts w:ascii="Times New Roman" w:cs="Times New Roman" w:eastAsia="Times New Roman" w:hAnsi="Times New Roman"/>
          <w:sz w:val="15"/>
          <w:szCs w:val="15"/>
          <w:color w:val="auto"/>
        </w:rPr>
        <w:t>The financial success of our facilities is in part dependent upon the volume of procedures performed by the physicians who use our facilities, which can be affected by the economy, health care reform efforts, increases in patient co-payments and deductibles and other factors outside our or their control. The physicians who use our surgical facilities may choose not to accept patients who pay for services through certain third-party payors, which could reduce our revenue. From time to time, we may have disputes with physicians who use our surgical facilities and/or own interests in our surgical facilities or our Company. Our revenue and profitability could be significantly reduced if we lost our relationship with one or more key physicians or groups of physicians, or if such key physician or group of physicians reduce their use of any of our surgical facilities. In addition, any damage to the reputation of a key physician or group of physicians or the failure of these physicians to provide quality medical care or adhere to professional guidelines at our surgical facilities could damage our reputation, subject us to liability and significantly reduce our revenue.</w:t>
      </w:r>
    </w:p>
    <w:p>
      <w:pPr>
        <w:spacing w:after="0" w:line="63"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5"/>
          <w:szCs w:val="15"/>
          <w:b w:val="1"/>
          <w:bCs w:val="1"/>
          <w:color w:val="auto"/>
        </w:rPr>
        <w:t>Our growth strategy depends in part on our ability to integrate operations of acquired surgical facilities, attract new physician partners, and to acquire and develop additional surgical facilities on favorable terms. If we are unable to achieve any of these goals, our future growth could be limited and our operating results could be adversely affected.</w:t>
      </w:r>
    </w:p>
    <w:p>
      <w:pPr>
        <w:spacing w:after="0" w:line="237" w:lineRule="exact"/>
        <w:rPr>
          <w:sz w:val="20"/>
          <w:szCs w:val="20"/>
          <w:color w:val="auto"/>
        </w:rPr>
      </w:pPr>
    </w:p>
    <w:p>
      <w:pPr>
        <w:jc w:val="both"/>
        <w:ind w:firstLine="309"/>
        <w:spacing w:after="0" w:line="271" w:lineRule="auto"/>
        <w:rPr>
          <w:sz w:val="20"/>
          <w:szCs w:val="20"/>
          <w:color w:val="auto"/>
        </w:rPr>
      </w:pPr>
      <w:r>
        <w:rPr>
          <w:rFonts w:ascii="Times New Roman" w:cs="Times New Roman" w:eastAsia="Times New Roman" w:hAnsi="Times New Roman"/>
          <w:sz w:val="15"/>
          <w:szCs w:val="15"/>
          <w:color w:val="auto"/>
        </w:rPr>
        <w:t>We believe that an important component of our financial performance and growth is our ability to provide physicians who use our surgical facilities with the opportunity to purchase ownership interests in our facilities. We may not be successful in attracting new physician investment in our surgical facilities, and that failure could result in a reduction in the quality, efficiency and profitability of our facilities. Based on competitive factors and market conditions, physicians may be able to negotiate relatively higher levels of equity ownership in our facilities, consequently limiting or reducing our share of the profits from these facilities. In addition, physician ownership in our facilities is subject to certain regulatory restrictions.</w:t>
      </w:r>
    </w:p>
    <w:p>
      <w:pPr>
        <w:spacing w:after="0" w:line="252" w:lineRule="exact"/>
        <w:rPr>
          <w:sz w:val="20"/>
          <w:szCs w:val="20"/>
          <w:color w:val="auto"/>
        </w:rPr>
      </w:pPr>
    </w:p>
    <w:p>
      <w:pPr>
        <w:jc w:val="both"/>
        <w:ind w:firstLine="309"/>
        <w:spacing w:after="0" w:line="279" w:lineRule="auto"/>
        <w:rPr>
          <w:sz w:val="20"/>
          <w:szCs w:val="20"/>
          <w:color w:val="auto"/>
        </w:rPr>
      </w:pPr>
      <w:r>
        <w:rPr>
          <w:rFonts w:ascii="Times New Roman" w:cs="Times New Roman" w:eastAsia="Times New Roman" w:hAnsi="Times New Roman"/>
          <w:sz w:val="15"/>
          <w:szCs w:val="15"/>
          <w:color w:val="auto"/>
        </w:rPr>
        <w:t>In addition, our growth strategy includes the acquisition and development of existing surgical facilities and the development of new surgical facilities jointly with local physicians and, in some cases, health care systems and other strategic partners. If we are unable to successfully execute on this strategy in the future, our future growth could be limited. We may be unable to identify suitable acquisition and development opportunities, or to complete acquisitions and new projects in a timely manner and on favorable terms.</w:t>
      </w:r>
    </w:p>
    <w:p>
      <w:pPr>
        <w:spacing w:after="0" w:line="56" w:lineRule="exact"/>
        <w:rPr>
          <w:sz w:val="20"/>
          <w:szCs w:val="20"/>
          <w:color w:val="auto"/>
        </w:rPr>
      </w:pPr>
    </w:p>
    <w:p>
      <w:pPr>
        <w:jc w:val="both"/>
        <w:ind w:firstLine="309"/>
        <w:spacing w:after="0" w:line="266" w:lineRule="auto"/>
        <w:rPr>
          <w:sz w:val="20"/>
          <w:szCs w:val="20"/>
          <w:color w:val="auto"/>
        </w:rPr>
      </w:pPr>
      <w:r>
        <w:rPr>
          <w:rFonts w:ascii="Times New Roman" w:cs="Times New Roman" w:eastAsia="Times New Roman" w:hAnsi="Times New Roman"/>
          <w:sz w:val="15"/>
          <w:szCs w:val="15"/>
          <w:color w:val="auto"/>
        </w:rPr>
        <w:t>Our acquisition and development activities require substantial capital resources, and we may need to obtain additional capital or financing, from time to time, to fund these activities. As a result, we may take actions to fund future acquisitions and development activities that could have a material adverse effect on our business, prospects, results of operations and financial condition, including incurring substantial debt with certain restrictive terms. Further, sufficient capital or financing may not be available to us on satisfactory terms, if at all. In addition, our ability to acquire and develop additional surgical facilities may be limited by state certificate of need programs, licensure requirements, antitrust laws, and other regulatory restrictions on expansion. We also face significant competition from local, regional and national health systems and other owners of surgical facilities in pursuing attractive acquisition candidates. The surgical facilities we develop typically incur losses in their early months of operation and, until their caseloads grow, they generally experience lower total revenue and operating margins than established surgical facilities, and we expect this trend to continue.</w:t>
      </w:r>
    </w:p>
    <w:p>
      <w:pPr>
        <w:spacing w:after="0" w:line="67" w:lineRule="exact"/>
        <w:rPr>
          <w:sz w:val="20"/>
          <w:szCs w:val="20"/>
          <w:color w:val="auto"/>
        </w:rPr>
      </w:pPr>
    </w:p>
    <w:p>
      <w:pPr>
        <w:jc w:val="both"/>
        <w:ind w:firstLine="309"/>
        <w:spacing w:after="0" w:line="269" w:lineRule="auto"/>
        <w:rPr>
          <w:sz w:val="20"/>
          <w:szCs w:val="20"/>
          <w:color w:val="auto"/>
        </w:rPr>
      </w:pPr>
      <w:r>
        <w:rPr>
          <w:rFonts w:ascii="Times New Roman" w:cs="Times New Roman" w:eastAsia="Times New Roman" w:hAnsi="Times New Roman"/>
          <w:sz w:val="15"/>
          <w:szCs w:val="15"/>
          <w:color w:val="auto"/>
        </w:rPr>
        <w:t>If we are not successful in integrating the operations and personnel of newly acquired surgical facilities in a timely and efficient manner, then the potential benefits of the transaction may not be realized and our operations and earnings could be materially adversely impacted. If we experience the loss of key personnel or if the effort devoted to the integration of acquired facilities diverts significant management or other resources from other operational activities, our operations could be impaired. Additionally, in some acquisitions, we may have to renegotiate, or risk losing, one or more of the facility’s private insurance contracts. We may also be unable to immediately</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2"/>
          <w:szCs w:val="12"/>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5"/>
          <w:szCs w:val="15"/>
          <w:color w:val="auto"/>
        </w:rPr>
        <w:t>collect the accounts receivable of an acquired facility while we align the payors’ payment systems and accounts with our own systems. Finally, certain transactions can require licensure changes which, in turn, result in disruptions in payment for services.</w:t>
      </w:r>
    </w:p>
    <w:p>
      <w:pPr>
        <w:spacing w:after="0" w:line="62" w:lineRule="exact"/>
        <w:rPr>
          <w:sz w:val="20"/>
          <w:szCs w:val="20"/>
          <w:color w:val="auto"/>
        </w:rPr>
      </w:pPr>
    </w:p>
    <w:p>
      <w:pPr>
        <w:jc w:val="both"/>
        <w:ind w:firstLine="309"/>
        <w:spacing w:after="0" w:line="279" w:lineRule="auto"/>
        <w:rPr>
          <w:sz w:val="20"/>
          <w:szCs w:val="20"/>
          <w:color w:val="auto"/>
        </w:rPr>
      </w:pPr>
      <w:r>
        <w:rPr>
          <w:rFonts w:ascii="Times New Roman" w:cs="Times New Roman" w:eastAsia="Times New Roman" w:hAnsi="Times New Roman"/>
          <w:sz w:val="15"/>
          <w:szCs w:val="15"/>
          <w:color w:val="auto"/>
        </w:rPr>
        <w:t>In addition, although we conduct extensive due diligence prior to the acquisition of surgical facilities and seek indemnification from prospective sellers covering unknown or contingent liabilities, we may acquire facilities with unknown or contingent liabilities, including liabilities for failure to comply with health care laws and regulations for which we do not have sufficient insurance or indemnification rights.</w:t>
      </w:r>
    </w:p>
    <w:p>
      <w:pPr>
        <w:spacing w:after="0" w:line="56" w:lineRule="exact"/>
        <w:rPr>
          <w:sz w:val="20"/>
          <w:szCs w:val="20"/>
          <w:color w:val="auto"/>
        </w:rPr>
      </w:pPr>
    </w:p>
    <w:p>
      <w:pPr>
        <w:jc w:val="both"/>
        <w:ind w:firstLine="309"/>
        <w:spacing w:after="0" w:line="263" w:lineRule="auto"/>
        <w:rPr>
          <w:sz w:val="20"/>
          <w:szCs w:val="20"/>
          <w:color w:val="auto"/>
        </w:rPr>
      </w:pPr>
      <w:r>
        <w:rPr>
          <w:rFonts w:ascii="Times New Roman" w:cs="Times New Roman" w:eastAsia="Times New Roman" w:hAnsi="Times New Roman"/>
          <w:sz w:val="15"/>
          <w:szCs w:val="15"/>
          <w:color w:val="auto"/>
        </w:rPr>
        <w:t>Our rapid growth has placed, and will continue to place, increased demands on our management, operational and financial information systems and other resources. Furthermore, expansions into new geographic markets and services may require us to comply with new and unfamiliar legal and regulatory requirements, which could impose substantial obligations on us and our management, cause us to expend additional time and resources, and increase our exposure to penalties or fines for non-compliance with such requirements. To accommodate our past and anticipated future growth, and to compete effectively, we will need to continue to improve our management, operational and financial information systems and to expand, train, manage and motivate our workforce. Our personnel, systems, procedures or controls may not be adequate to support our operations in the future. Further, focusing our financial resources and management attention on the expansion of our operations may negatively impact our financial results. Any failure to improve our management, operational and financial information systems, or to expand, train, manage or motivate our workforce, could reduce or prevent our growth.</w:t>
      </w:r>
    </w:p>
    <w:p>
      <w:pPr>
        <w:spacing w:after="0" w:line="78"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5"/>
          <w:szCs w:val="15"/>
          <w:b w:val="1"/>
          <w:bCs w:val="1"/>
          <w:color w:val="auto"/>
        </w:rPr>
        <w:t>Shortages of surgery-related products, equipment and medical supplies and quality control issues with such products, equipment and medical supplies could disrupt our operations and adversely affect our case volume, surgical case mix and profitability.</w:t>
      </w:r>
    </w:p>
    <w:p>
      <w:pPr>
        <w:spacing w:after="0" w:line="46" w:lineRule="exact"/>
        <w:rPr>
          <w:sz w:val="20"/>
          <w:szCs w:val="20"/>
          <w:color w:val="auto"/>
        </w:rPr>
      </w:pPr>
    </w:p>
    <w:p>
      <w:pPr>
        <w:jc w:val="both"/>
        <w:ind w:firstLine="309"/>
        <w:spacing w:after="0" w:line="269" w:lineRule="auto"/>
        <w:rPr>
          <w:sz w:val="20"/>
          <w:szCs w:val="20"/>
          <w:color w:val="auto"/>
        </w:rPr>
      </w:pPr>
      <w:r>
        <w:rPr>
          <w:rFonts w:ascii="Times New Roman" w:cs="Times New Roman" w:eastAsia="Times New Roman" w:hAnsi="Times New Roman"/>
          <w:sz w:val="15"/>
          <w:szCs w:val="15"/>
          <w:color w:val="auto"/>
        </w:rPr>
        <w:t>Our operations depend significantly upon our ability to obtain sufficient surgery-related products, drugs, equipment and medical supplies from suppliers on a timely and cost-effective basis. If we are unable to obtain such necessary products, or if we fail to properly manage existing inventory levels, the surgical facilities may be unable to perform certain surgeries, which could adversely affect case volume or result in a negative shift in surgical case mix. In addition, as a result of shortages, we could suffer, among other things, operational disruptions, disruptions in cash flows, increased costs and reductions in profitability. At times, supply shortages have occurred in our industry, and such shortages may be expected to recur from time to time.</w:t>
      </w:r>
    </w:p>
    <w:p>
      <w:pPr>
        <w:spacing w:after="0" w:line="65" w:lineRule="exact"/>
        <w:rPr>
          <w:sz w:val="20"/>
          <w:szCs w:val="20"/>
          <w:color w:val="auto"/>
        </w:rPr>
      </w:pPr>
    </w:p>
    <w:p>
      <w:pPr>
        <w:jc w:val="both"/>
        <w:ind w:firstLine="309"/>
        <w:spacing w:after="0" w:line="269" w:lineRule="auto"/>
        <w:rPr>
          <w:sz w:val="20"/>
          <w:szCs w:val="20"/>
          <w:color w:val="auto"/>
        </w:rPr>
      </w:pPr>
      <w:r>
        <w:rPr>
          <w:rFonts w:ascii="Times New Roman" w:cs="Times New Roman" w:eastAsia="Times New Roman" w:hAnsi="Times New Roman"/>
          <w:sz w:val="15"/>
          <w:szCs w:val="15"/>
          <w:color w:val="auto"/>
        </w:rPr>
        <w:t>Medical supplies and services can also be subject to supplier product quality control incidents and recalls. In addition to contributing to materials shortages, product quality can affect patient care and safety. Material quality control incidents have occurred in the past and may occur again in the future, for reasons beyond our control, and such incidents can negatively impact case volume, product costs and our reputation. In addition, we may have to incur costs to resolve quality control incidents related to medical supplies and services regardless of whether they were caused by us. Our inability to obtain the necessary amount and quality of surgery-related products, equipment and medical supplies due to a quality control incident or recall could have a material adverse effect on our business, prospects, results of operations and financial condition.</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We face competition from other health care facilities and providers.</w:t>
      </w:r>
    </w:p>
    <w:p>
      <w:pPr>
        <w:spacing w:after="0" w:line="128" w:lineRule="exact"/>
        <w:rPr>
          <w:sz w:val="20"/>
          <w:szCs w:val="20"/>
          <w:color w:val="auto"/>
        </w:rPr>
      </w:pPr>
    </w:p>
    <w:p>
      <w:pPr>
        <w:jc w:val="both"/>
        <w:ind w:firstLine="309"/>
        <w:spacing w:after="0" w:line="266" w:lineRule="auto"/>
        <w:rPr>
          <w:sz w:val="20"/>
          <w:szCs w:val="20"/>
          <w:color w:val="auto"/>
        </w:rPr>
      </w:pPr>
      <w:r>
        <w:rPr>
          <w:rFonts w:ascii="Times New Roman" w:cs="Times New Roman" w:eastAsia="Times New Roman" w:hAnsi="Times New Roman"/>
          <w:sz w:val="15"/>
          <w:szCs w:val="15"/>
          <w:color w:val="auto"/>
        </w:rPr>
        <w:t>The health care business is highly competitive and each of the individual geographic areas in which we operate has a different competitive landscape. In each of our markets we compete with other health care providers for patients and in contracting with private insurance payors. In addition, because the number of physicians available to utilize and invest in our facilities is finite, we face intense competition from other surgery centers, hospitals, health systems and other health care providers in recruiting physicians to utilize and invest in our facilities. We are in competition with other surgery centers, hospitals and health care systems in the communities we serve to attract patients and provide them with the care they need.</w:t>
      </w:r>
    </w:p>
    <w:p>
      <w:pPr>
        <w:spacing w:after="0" w:line="267" w:lineRule="exact"/>
        <w:rPr>
          <w:sz w:val="20"/>
          <w:szCs w:val="20"/>
          <w:color w:val="auto"/>
        </w:rPr>
      </w:pPr>
    </w:p>
    <w:p>
      <w:pPr>
        <w:jc w:val="both"/>
        <w:ind w:firstLine="309"/>
        <w:spacing w:after="0" w:line="264" w:lineRule="auto"/>
        <w:rPr>
          <w:sz w:val="20"/>
          <w:szCs w:val="20"/>
          <w:color w:val="auto"/>
        </w:rPr>
      </w:pPr>
      <w:r>
        <w:rPr>
          <w:rFonts w:ascii="Times New Roman" w:cs="Times New Roman" w:eastAsia="Times New Roman" w:hAnsi="Times New Roman"/>
          <w:sz w:val="15"/>
          <w:szCs w:val="15"/>
          <w:color w:val="auto"/>
        </w:rPr>
        <w:t>There are also unaffiliated hospitals in each market in which we operate. These hospitals have established relationships with physicians and payors. In addition, other companies either currently are in the same or similar business of developing, acquiring and operating surgical facilities or may decide to enter our business. Many of these companies have greater resources than we do, including financial, marketing, staff and capital resources. We also may compete with some of these companies for entry into strategic relationships with health care systems and health care professionals. In addition, many physician groups develop surgical facilities without a corporate partner. In recent years, more physicians are choosing to perform procedures, including pain management and gastrointestinal procedures, in an office-based setting rather than in a surgical facility. If we are unable to compete effectively with any of these entities or groups, we may be unable to implement our business strategies successfully and our financial position and results of operations could be adversely affected.</w:t>
      </w:r>
    </w:p>
    <w:p>
      <w:pPr>
        <w:spacing w:after="0" w:line="250" w:lineRule="exact"/>
        <w:rPr>
          <w:sz w:val="20"/>
          <w:szCs w:val="20"/>
          <w:color w:val="auto"/>
        </w:rPr>
      </w:pPr>
    </w:p>
    <w:p>
      <w:pPr>
        <w:jc w:val="both"/>
        <w:spacing w:after="0" w:line="312" w:lineRule="auto"/>
        <w:rPr>
          <w:sz w:val="20"/>
          <w:szCs w:val="20"/>
          <w:color w:val="auto"/>
        </w:rPr>
      </w:pPr>
      <w:r>
        <w:rPr>
          <w:rFonts w:ascii="Times New Roman" w:cs="Times New Roman" w:eastAsia="Times New Roman" w:hAnsi="Times New Roman"/>
          <w:sz w:val="15"/>
          <w:szCs w:val="15"/>
          <w:b w:val="1"/>
          <w:bCs w:val="1"/>
          <w:color w:val="auto"/>
        </w:rPr>
        <w:t>Competition for physicians and clinical personnel, including nurses, shortages of qualified personnel or other factors could increase our labor costs and adversely affect our revenue, profitability and cash flows.</w:t>
      </w:r>
    </w:p>
    <w:p>
      <w:pPr>
        <w:spacing w:after="0" w:line="33" w:lineRule="exact"/>
        <w:rPr>
          <w:sz w:val="20"/>
          <w:szCs w:val="20"/>
          <w:color w:val="auto"/>
        </w:rPr>
      </w:pPr>
    </w:p>
    <w:p>
      <w:pPr>
        <w:jc w:val="both"/>
        <w:ind w:firstLine="309"/>
        <w:spacing w:after="0" w:line="265" w:lineRule="auto"/>
        <w:rPr>
          <w:sz w:val="20"/>
          <w:szCs w:val="20"/>
          <w:color w:val="auto"/>
        </w:rPr>
      </w:pPr>
      <w:r>
        <w:rPr>
          <w:rFonts w:ascii="Times New Roman" w:cs="Times New Roman" w:eastAsia="Times New Roman" w:hAnsi="Times New Roman"/>
          <w:sz w:val="15"/>
          <w:szCs w:val="15"/>
          <w:color w:val="auto"/>
        </w:rPr>
        <w:t>Our operations are dependent on the efforts, abilities and experience of our physicians and clinical personnel. We compete with other health care providers, primarily hospitals and other surgical facilities, in attracting physicians to utilize our surgical facilities, nurses and medical staff to support our surgical facilities, recruiting and retaining qualified management and support personnel responsible for the daily operations of each of our facilities and in contracting with private insurance payors in each of our markets. In some markets, the lack of availability of clinical personnel, such as nurses, has become a significant operating issue facing all health care providers. This shortage may require us to continue to enhance wages and benefits to recruit and retain qualified personnel or to contract for more expensive temporary personnel. We also depend on the available labor pool of semi-skilled and unskilled workers in each of the markets in which we operate.</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2"/>
          <w:szCs w:val="12"/>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ind w:firstLine="309"/>
        <w:spacing w:after="0" w:line="265" w:lineRule="auto"/>
        <w:rPr>
          <w:sz w:val="20"/>
          <w:szCs w:val="20"/>
          <w:color w:val="auto"/>
        </w:rPr>
      </w:pPr>
      <w:r>
        <w:rPr>
          <w:rFonts w:ascii="Times New Roman" w:cs="Times New Roman" w:eastAsia="Times New Roman" w:hAnsi="Times New Roman"/>
          <w:sz w:val="15"/>
          <w:szCs w:val="15"/>
          <w:color w:val="auto"/>
        </w:rPr>
        <w:t>If our labor costs increase, we may not be able to raise rates to offset these increased costs. Because a significant percentage of our revenue consists of fixed, prospective payments, our ability to pass along increased labor costs is limited. In particular, if labor costs rise at an annual rate greater than our net annual consumer price index basket update from Medicare, our results of operations and cash flows will likely be adversely affected. Any union activity at our facilities that may occur in the future could contribute to increased labor costs. Certain proposed changes in federal labor laws and the National Labor Relations Board’s modification of its election procedures could increase the likelihood of employee unionization attempts. Our failure to recruit and retain qualified management and medical personnel, or to control our labor costs, could have a material adverse effect on our business, prospects, results of operations and financial condition.</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Our surgical facilities are sensitive to regulatory, economic and other conditions in the states where they are located.</w:t>
      </w:r>
    </w:p>
    <w:p>
      <w:pPr>
        <w:spacing w:after="0" w:line="128" w:lineRule="exact"/>
        <w:rPr>
          <w:sz w:val="20"/>
          <w:szCs w:val="20"/>
          <w:color w:val="auto"/>
        </w:rPr>
      </w:pPr>
    </w:p>
    <w:p>
      <w:pPr>
        <w:jc w:val="both"/>
        <w:ind w:firstLine="309"/>
        <w:spacing w:after="0" w:line="265" w:lineRule="auto"/>
        <w:rPr>
          <w:sz w:val="20"/>
          <w:szCs w:val="20"/>
          <w:color w:val="auto"/>
        </w:rPr>
      </w:pPr>
      <w:r>
        <w:rPr>
          <w:rFonts w:ascii="Times New Roman" w:cs="Times New Roman" w:eastAsia="Times New Roman" w:hAnsi="Times New Roman"/>
          <w:sz w:val="15"/>
          <w:szCs w:val="15"/>
          <w:color w:val="auto"/>
        </w:rPr>
        <w:t>Our revenue is particularly sensitive to regulatory, economic and other conditions in the state of Idaho. As of December 31, 2025, we owned and operated three consolidated surgical hospitals and four consolidated ASCs in Idaho, representing approximately 28% of our revenue during fiscal year 2025. These surgical facilities also provide ancillary services, including physician practices, radiation oncology and anesthesia services. If there were an adverse regulatory, economic or other development in any of the states in which we have a higher concentration of facilities, including Idaho, our case volumes could decline in such states or there could be other unanticipated adverse impacts on our business in those states, which could have a material adverse effect on our business, prospects, results of operations and financial condition.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Certain of our partnership and operating agreements contain provisions giving rights to our partners and other members that may be adverse to our interests.</w:t>
      </w:r>
    </w:p>
    <w:p>
      <w:pPr>
        <w:spacing w:after="0" w:line="102" w:lineRule="exact"/>
        <w:rPr>
          <w:sz w:val="20"/>
          <w:szCs w:val="20"/>
          <w:color w:val="auto"/>
        </w:rPr>
      </w:pPr>
    </w:p>
    <w:p>
      <w:pPr>
        <w:ind w:right="20" w:firstLine="309"/>
        <w:spacing w:after="0" w:line="247" w:lineRule="auto"/>
        <w:rPr>
          <w:sz w:val="20"/>
          <w:szCs w:val="20"/>
          <w:color w:val="auto"/>
        </w:rPr>
      </w:pPr>
      <w:r>
        <w:rPr>
          <w:rFonts w:ascii="Times New Roman" w:cs="Times New Roman" w:eastAsia="Times New Roman" w:hAnsi="Times New Roman"/>
          <w:sz w:val="15"/>
          <w:szCs w:val="15"/>
          <w:color w:val="auto"/>
        </w:rPr>
        <w:t>Certain of the agreements governing the limited partnerships ("LPs"), limited liability partnerships ("LLPs"), general partnerships ("GPs") and limited liability companies ("LLCs") through which we own and operate our facilities contain provisions that give our partners or other members rights that may, in certain circumstances, be adverse to our interests. These rights include, but are not limited to, rights to purchase our interest in the partnership or LLC, rights to require us to purchase the interests of our partners or other members, or rights requiring the consent of our partners and other members prior to our transferring our ownership interest in a facility or prior to a change in control of us or certain of our subsidiaries. With respect to these purchase rights, the agreements generally include a specified formula or methodology to determine the applicable purchase price, which may or may not reflect fair market value.</w:t>
      </w:r>
    </w:p>
    <w:p>
      <w:pPr>
        <w:spacing w:after="0" w:line="95" w:lineRule="exact"/>
        <w:rPr>
          <w:sz w:val="20"/>
          <w:szCs w:val="20"/>
          <w:color w:val="auto"/>
        </w:rPr>
      </w:pPr>
    </w:p>
    <w:p>
      <w:pPr>
        <w:jc w:val="both"/>
        <w:ind w:firstLine="309"/>
        <w:spacing w:after="0" w:line="262" w:lineRule="auto"/>
        <w:rPr>
          <w:sz w:val="20"/>
          <w:szCs w:val="20"/>
          <w:color w:val="auto"/>
        </w:rPr>
      </w:pPr>
      <w:r>
        <w:rPr>
          <w:rFonts w:ascii="Times New Roman" w:cs="Times New Roman" w:eastAsia="Times New Roman" w:hAnsi="Times New Roman"/>
          <w:sz w:val="15"/>
          <w:szCs w:val="15"/>
          <w:color w:val="auto"/>
        </w:rPr>
        <w:t>Additionally, many of our partnership and operating agreements contain restrictions on actions that we can take, even though we may be the general partner or the managing member. Examples of these restrictions include the rights of our partners and other members to approve the sale of substantially all of the assets of the partnership or LLC, to dissolve the partnership or LLC, to appoint a new or additional general partner or managing member and to amend the partnership or operating agreements. Many of our agreements also restrict our ability in certain instances to compete with our existing facilities or with our partners. Where we hold only a limited partner or a non-managing member interest, the general partner or managing member may take certain actions without our consent, although we typically have certain protective rights to approve major decisions such as the sale of substantially all of the assets of the entity, dissolution of the partnership or LLC and the amendment of the partnership or operating agreement. These management and governance rights held by our partners and other members limit and restrict our ability to make unilateral decisions about the management and operation of the facilities without the approval of our partners and other members.</w:t>
      </w:r>
    </w:p>
    <w:p>
      <w:pPr>
        <w:spacing w:after="0" w:line="264"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5"/>
          <w:szCs w:val="15"/>
          <w:b w:val="1"/>
          <w:bCs w:val="1"/>
          <w:color w:val="auto"/>
        </w:rPr>
        <w:t>We may have a special legal responsibility to the holders of ownership interests in the entities through which we own our facilities, which may conflict with, and prevent us from acting solely in, our own best interests or the interests of our stockholders.</w:t>
      </w:r>
    </w:p>
    <w:p>
      <w:pPr>
        <w:spacing w:after="0" w:line="58" w:lineRule="exact"/>
        <w:rPr>
          <w:sz w:val="20"/>
          <w:szCs w:val="20"/>
          <w:color w:val="auto"/>
        </w:rPr>
      </w:pPr>
    </w:p>
    <w:p>
      <w:pPr>
        <w:jc w:val="both"/>
        <w:ind w:firstLine="309"/>
        <w:spacing w:after="0" w:line="262" w:lineRule="auto"/>
        <w:rPr>
          <w:sz w:val="20"/>
          <w:szCs w:val="20"/>
          <w:color w:val="auto"/>
        </w:rPr>
      </w:pPr>
      <w:r>
        <w:rPr>
          <w:rFonts w:ascii="Times New Roman" w:cs="Times New Roman" w:eastAsia="Times New Roman" w:hAnsi="Times New Roman"/>
          <w:sz w:val="15"/>
          <w:szCs w:val="15"/>
          <w:color w:val="auto"/>
        </w:rPr>
        <w:t>We generally hold our ownership interests in facilities through LPs, LLPs, GPs, and LLCs in which we maintain an ownership interest along with physicians and, in some cases, both physicians and health systems. As general partner and manager of most of these entities, we may have a fiduciary duty, to manage these entities in the best interests of the other owners. We also have a duty to operate our business for the benefit of our stockholders. As a result, we may encounter conflicts between our responsibility to the other owners and our responsibility to our stockholders. For example, we have entered into some management agreements to provide management services to our surgical facilities in exchange for a fee. Disputes may arise as to the nature of the services to be provided or the amount of the fee to be paid. In these cases, we may be obligated to exercise reasonable, good faith judgment to resolve the disputes and may not be free to act solely in our own best interests or the stockholders best interest. Disputes may also arise between us and our physician investors with respect to a particular business decision or regarding the interpretation of the provisions of the applicable partnership or limited liability company agreement. We seek to avoid these disputes but have not implemented any measures to resolve these conflicts if they arise. If we are unable to resolve a dispute on terms favorable or satisfactory to us, it could have a material adverse effect on our business, prospects, results of operations and financial condition.</w:t>
      </w:r>
    </w:p>
    <w:p>
      <w:pPr>
        <w:spacing w:after="0" w:line="67" w:lineRule="exact"/>
        <w:rPr>
          <w:sz w:val="20"/>
          <w:szCs w:val="20"/>
          <w:color w:val="auto"/>
        </w:rPr>
      </w:pPr>
    </w:p>
    <w:p>
      <w:pPr>
        <w:jc w:val="both"/>
        <w:spacing w:after="0" w:line="312" w:lineRule="auto"/>
        <w:rPr>
          <w:sz w:val="20"/>
          <w:szCs w:val="20"/>
          <w:color w:val="auto"/>
        </w:rPr>
      </w:pPr>
      <w:r>
        <w:rPr>
          <w:rFonts w:ascii="Times New Roman" w:cs="Times New Roman" w:eastAsia="Times New Roman" w:hAnsi="Times New Roman"/>
          <w:sz w:val="15"/>
          <w:szCs w:val="15"/>
          <w:b w:val="1"/>
          <w:bCs w:val="1"/>
          <w:color w:val="auto"/>
        </w:rPr>
        <w:t>Growth of patient receivables or deterioration in the ability to collect on these accounts, due to changes in economic conditions or otherwise, could have a material adverse effect on our business, prospects, results of operations and financial condition.</w:t>
      </w:r>
    </w:p>
    <w:p>
      <w:pPr>
        <w:spacing w:after="0" w:line="33" w:lineRule="exact"/>
        <w:rPr>
          <w:sz w:val="20"/>
          <w:szCs w:val="20"/>
          <w:color w:val="auto"/>
        </w:rPr>
      </w:pPr>
    </w:p>
    <w:p>
      <w:pPr>
        <w:jc w:val="both"/>
        <w:ind w:firstLine="309"/>
        <w:spacing w:after="0" w:line="265" w:lineRule="auto"/>
        <w:rPr>
          <w:sz w:val="20"/>
          <w:szCs w:val="20"/>
          <w:color w:val="auto"/>
        </w:rPr>
      </w:pPr>
      <w:r>
        <w:rPr>
          <w:rFonts w:ascii="Times New Roman" w:cs="Times New Roman" w:eastAsia="Times New Roman" w:hAnsi="Times New Roman"/>
          <w:sz w:val="15"/>
          <w:szCs w:val="15"/>
          <w:color w:val="auto"/>
        </w:rPr>
        <w:t>The current practice of providing medical services in advance of payment or, in many cases, prior to assessment of ability to pay for such services, may have significant negative impact on our revenue and cash flow. We bill numerous and varied payors, such as self-pay patients, private insurance payors and Medicare and Medicaid. These different payors typically have different billing requirements that must be satisfied prior to receiving payment for services rendered. Reimbursement is typically conditioned on our documenting medical necessity and correctly applying diagnosis codes. Incorrect or incomplete documentation and billing information could result in non-payment for services rendered. The primary collection risks with respect to our patient receivables relate to patient accounts for which the</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2"/>
          <w:szCs w:val="12"/>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primary third-party payor has paid the amounts covered by the applicable agreement, but patient responsibility amounts (deductibles and co-payments) remain outstanding.</w:t>
      </w:r>
    </w:p>
    <w:p>
      <w:pPr>
        <w:spacing w:after="0" w:line="11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Additional factors that could complicate our billing include:</w:t>
      </w:r>
    </w:p>
    <w:p>
      <w:pPr>
        <w:spacing w:after="0" w:line="124" w:lineRule="exact"/>
        <w:rPr>
          <w:sz w:val="20"/>
          <w:szCs w:val="20"/>
          <w:color w:val="auto"/>
        </w:rPr>
      </w:pPr>
    </w:p>
    <w:p>
      <w:pPr>
        <w:ind w:left="620" w:hanging="307"/>
        <w:spacing w:after="0"/>
        <w:tabs>
          <w:tab w:leader="none" w:pos="62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disputes between payors as to which party is responsible for payment;</w:t>
      </w:r>
    </w:p>
    <w:p>
      <w:pPr>
        <w:spacing w:after="0" w:line="111" w:lineRule="exact"/>
        <w:rPr>
          <w:rFonts w:ascii="Times New Roman" w:cs="Times New Roman" w:eastAsia="Times New Roman" w:hAnsi="Times New Roman"/>
          <w:sz w:val="15"/>
          <w:szCs w:val="15"/>
          <w:color w:val="auto"/>
        </w:rPr>
      </w:pPr>
    </w:p>
    <w:p>
      <w:pPr>
        <w:ind w:left="620" w:hanging="307"/>
        <w:spacing w:after="0"/>
        <w:tabs>
          <w:tab w:leader="none" w:pos="62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failure of information systems and processes to submit and collect claims in a timely manner;</w:t>
      </w:r>
    </w:p>
    <w:p>
      <w:pPr>
        <w:spacing w:after="0" w:line="124" w:lineRule="exact"/>
        <w:rPr>
          <w:rFonts w:ascii="Times New Roman" w:cs="Times New Roman" w:eastAsia="Times New Roman" w:hAnsi="Times New Roman"/>
          <w:sz w:val="15"/>
          <w:szCs w:val="15"/>
          <w:color w:val="auto"/>
        </w:rPr>
      </w:pPr>
    </w:p>
    <w:p>
      <w:pPr>
        <w:ind w:left="620" w:hanging="307"/>
        <w:spacing w:after="0"/>
        <w:tabs>
          <w:tab w:leader="none" w:pos="62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variation in coverage for similar services among various payors;</w:t>
      </w:r>
    </w:p>
    <w:p>
      <w:pPr>
        <w:spacing w:after="0" w:line="111" w:lineRule="exact"/>
        <w:rPr>
          <w:rFonts w:ascii="Times New Roman" w:cs="Times New Roman" w:eastAsia="Times New Roman" w:hAnsi="Times New Roman"/>
          <w:sz w:val="15"/>
          <w:szCs w:val="15"/>
          <w:color w:val="auto"/>
        </w:rPr>
      </w:pPr>
    </w:p>
    <w:p>
      <w:pPr>
        <w:ind w:left="620" w:hanging="307"/>
        <w:spacing w:after="0"/>
        <w:tabs>
          <w:tab w:leader="none" w:pos="62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difficulty of adherence to specific compliance requirements, diagnosis coding and other procedures mandated by various payors; and</w:t>
      </w:r>
    </w:p>
    <w:p>
      <w:pPr>
        <w:spacing w:after="0" w:line="111" w:lineRule="exact"/>
        <w:rPr>
          <w:rFonts w:ascii="Times New Roman" w:cs="Times New Roman" w:eastAsia="Times New Roman" w:hAnsi="Times New Roman"/>
          <w:sz w:val="15"/>
          <w:szCs w:val="15"/>
          <w:color w:val="auto"/>
        </w:rPr>
      </w:pPr>
    </w:p>
    <w:p>
      <w:pPr>
        <w:ind w:left="620" w:hanging="307"/>
        <w:spacing w:after="0"/>
        <w:tabs>
          <w:tab w:leader="none" w:pos="62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failure to obtain proper physician credentialing and documentation in order to bill various payors.</w:t>
      </w:r>
    </w:p>
    <w:p>
      <w:pPr>
        <w:spacing w:after="0" w:line="124" w:lineRule="exact"/>
        <w:rPr>
          <w:sz w:val="20"/>
          <w:szCs w:val="20"/>
          <w:color w:val="auto"/>
        </w:rPr>
      </w:pPr>
    </w:p>
    <w:p>
      <w:pPr>
        <w:jc w:val="both"/>
        <w:ind w:firstLine="309"/>
        <w:spacing w:after="0" w:line="289" w:lineRule="auto"/>
        <w:rPr>
          <w:sz w:val="20"/>
          <w:szCs w:val="20"/>
          <w:color w:val="auto"/>
        </w:rPr>
      </w:pPr>
      <w:r>
        <w:rPr>
          <w:rFonts w:ascii="Times New Roman" w:cs="Times New Roman" w:eastAsia="Times New Roman" w:hAnsi="Times New Roman"/>
          <w:sz w:val="15"/>
          <w:szCs w:val="15"/>
          <w:color w:val="auto"/>
        </w:rPr>
        <w:t>Due to the difficulty in assessing future trends, including the effects of changes in economic conditions, an increase in the amount of patient receivables or a deterioration in the collectability of these receivables could have a material adverse effect on our business, prospects, results of operations and financial condition.</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If we are unable to integrate and operate our information systems effectively or implement new systems and processes, our operations could be disrupted.</w:t>
      </w:r>
    </w:p>
    <w:p>
      <w:pPr>
        <w:spacing w:after="0" w:line="115" w:lineRule="exact"/>
        <w:rPr>
          <w:sz w:val="20"/>
          <w:szCs w:val="20"/>
          <w:color w:val="auto"/>
        </w:rPr>
      </w:pPr>
    </w:p>
    <w:p>
      <w:pPr>
        <w:jc w:val="both"/>
        <w:ind w:firstLine="309"/>
        <w:spacing w:after="0" w:line="265" w:lineRule="auto"/>
        <w:rPr>
          <w:sz w:val="20"/>
          <w:szCs w:val="20"/>
          <w:color w:val="auto"/>
        </w:rPr>
      </w:pPr>
      <w:r>
        <w:rPr>
          <w:rFonts w:ascii="Times New Roman" w:cs="Times New Roman" w:eastAsia="Times New Roman" w:hAnsi="Times New Roman"/>
          <w:sz w:val="15"/>
          <w:szCs w:val="15"/>
          <w:color w:val="auto"/>
        </w:rPr>
        <w:t>Our operations depend significantly on effective information systems, which require continual maintenance, upgrading and enhancement to meet our operational needs. Any system failure or integration delay that causes an interruption in service or availability of our systems could adversely affect operations or delay the collection of revenue. Moreover, we use the development and implementation of sophisticated and specialized technology to improve our profitability, and our acquired surgical centers and hospitals will require frequent transitions and integration of various information systems. If we are unable to properly integrate other information systems or expand our current information systems it may have an adverse effect on our ability to obtain new business, retain existing business and maintain or increase our profit margins and we could suffer, among other things, operational disruptions, disruptions in cash flows and increases in administrative expenses.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A pandemic, epidemic or outbreak of a contagious disease in the markets in which we operate or that otherwise impacts our facilities could adversely impact our business.</w:t>
      </w:r>
    </w:p>
    <w:p>
      <w:pPr>
        <w:spacing w:after="0" w:line="128" w:lineRule="exact"/>
        <w:rPr>
          <w:sz w:val="20"/>
          <w:szCs w:val="20"/>
          <w:color w:val="auto"/>
        </w:rPr>
      </w:pPr>
    </w:p>
    <w:p>
      <w:pPr>
        <w:jc w:val="both"/>
        <w:ind w:firstLine="309"/>
        <w:spacing w:after="0" w:line="262" w:lineRule="auto"/>
        <w:rPr>
          <w:sz w:val="20"/>
          <w:szCs w:val="20"/>
          <w:color w:val="auto"/>
        </w:rPr>
      </w:pPr>
      <w:r>
        <w:rPr>
          <w:rFonts w:ascii="Times New Roman" w:cs="Times New Roman" w:eastAsia="Times New Roman" w:hAnsi="Times New Roman"/>
          <w:sz w:val="15"/>
          <w:szCs w:val="15"/>
          <w:color w:val="auto"/>
        </w:rPr>
        <w:t>If a pandemic, epidemic or outbreak of an infectious disease or other public health crisis were to affect the areas in which we operate, our business, including our revenue, profitability and cash flows, could be adversely affected. If any of our facilities were involved, or perceived to be involved, in treating patients with a highly contagious disease, or there was an outbreak of a highly contagious disease in areas in which our surgical centers are located, our patients might cancel or defer elective procedures or otherwise avoid medical treatment. This could result in reduced patient volumes and operating revenues, potentially over an extended period. Further, a pandemic, epidemic or outbreak of an infectious disease might adversely impact our business by causing temporary shutdowns of our facilities or diversion of patients or by causing staffing shortages in our facilities. We may be unable to locate replacement supplies, and ongoing delays could require us to reduce procedure volume or cause temporary shutdowns of our facilities. Although we have disaster plans in place and operate pursuant to infectious disease protocols, the extent to which a public health crisis will impact our business is difficult to predict and will depend on many factors beyond our control, including the speed of contagion, the development and implementation of effective preventative measures and possible treatments, the scope of governmental and other restrictions on travel and other activity, and public reactions to these factors.</w:t>
      </w:r>
    </w:p>
    <w:p>
      <w:pPr>
        <w:spacing w:after="0" w:line="171"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5"/>
          <w:szCs w:val="15"/>
          <w:b w:val="1"/>
          <w:bCs w:val="1"/>
          <w:color w:val="auto"/>
        </w:rPr>
        <w:t>Financial and Accounting Risks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We have a history of net losses and may not achieve or sustain profitability in the future.</w:t>
      </w:r>
    </w:p>
    <w:p>
      <w:pPr>
        <w:spacing w:after="0" w:line="115" w:lineRule="exact"/>
        <w:rPr>
          <w:sz w:val="20"/>
          <w:szCs w:val="20"/>
          <w:color w:val="auto"/>
        </w:rPr>
      </w:pPr>
    </w:p>
    <w:p>
      <w:pPr>
        <w:jc w:val="both"/>
        <w:ind w:firstLine="309"/>
        <w:spacing w:after="0" w:line="265" w:lineRule="auto"/>
        <w:rPr>
          <w:sz w:val="20"/>
          <w:szCs w:val="20"/>
          <w:color w:val="auto"/>
        </w:rPr>
      </w:pPr>
      <w:r>
        <w:rPr>
          <w:rFonts w:ascii="Times New Roman" w:cs="Times New Roman" w:eastAsia="Times New Roman" w:hAnsi="Times New Roman"/>
          <w:sz w:val="15"/>
          <w:szCs w:val="15"/>
          <w:color w:val="auto"/>
        </w:rPr>
        <w:t>We had net losses attributable to Surgery Partners, Inc. of $77.9 million, $168.1 million and $11.9 million, in 2025, 2024 and 2023, respectively. We cannot assure you that our revenue will grow or that we will achieve or maintain profitability in the future. Growth of our revenue may slow or revenue may decline and expenses may increase for a number of possible reasons, including reduced demand for our services, regulatory shifts and other risks and uncertainties. Our ability to achieve profitability will be affected by the other risks and uncertainties described in this section and in "Management’s Discussion and Analysis of Financial Condition and Results of Operations," included elsewhere in this Annual Report. All of these factors could contribute to future net losses and, if we are unable to meet these risks and challenges as we encounter them, our business may suffer. If we are not able to achieve, sustain or increase profitability, our business will be adversely affected and our stock price may decline.</w:t>
      </w:r>
    </w:p>
    <w:p>
      <w:pPr>
        <w:spacing w:after="0" w:line="65" w:lineRule="exact"/>
        <w:rPr>
          <w:sz w:val="20"/>
          <w:szCs w:val="20"/>
          <w:color w:val="auto"/>
        </w:rPr>
      </w:pPr>
    </w:p>
    <w:p>
      <w:pPr>
        <w:jc w:val="both"/>
        <w:spacing w:after="0" w:line="312" w:lineRule="auto"/>
        <w:rPr>
          <w:sz w:val="20"/>
          <w:szCs w:val="20"/>
          <w:color w:val="auto"/>
        </w:rPr>
      </w:pPr>
      <w:r>
        <w:rPr>
          <w:rFonts w:ascii="Times New Roman" w:cs="Times New Roman" w:eastAsia="Times New Roman" w:hAnsi="Times New Roman"/>
          <w:sz w:val="15"/>
          <w:szCs w:val="15"/>
          <w:b w:val="1"/>
          <w:bCs w:val="1"/>
          <w:color w:val="auto"/>
        </w:rPr>
        <w:t>Our leverage could adversely affect our ability to raise additional capital to fund our operations, limit our ability to react to changes in the economy or our industry, expose us to interest rate risk to the extent of our variable rate debt and prevent us from meeting our obligations under our outstanding indebtedness.</w:t>
      </w:r>
    </w:p>
    <w:p>
      <w:pPr>
        <w:spacing w:after="0" w:line="33" w:lineRule="exact"/>
        <w:rPr>
          <w:sz w:val="20"/>
          <w:szCs w:val="20"/>
          <w:color w:val="auto"/>
        </w:rPr>
      </w:pPr>
    </w:p>
    <w:p>
      <w:pPr>
        <w:jc w:val="both"/>
        <w:ind w:firstLine="309"/>
        <w:spacing w:after="0" w:line="279" w:lineRule="auto"/>
        <w:rPr>
          <w:sz w:val="20"/>
          <w:szCs w:val="20"/>
          <w:color w:val="auto"/>
        </w:rPr>
      </w:pPr>
      <w:r>
        <w:rPr>
          <w:rFonts w:ascii="Times New Roman" w:cs="Times New Roman" w:eastAsia="Times New Roman" w:hAnsi="Times New Roman"/>
          <w:sz w:val="15"/>
          <w:szCs w:val="15"/>
          <w:color w:val="auto"/>
        </w:rPr>
        <w:t>As of December 31, 2025, we and our subsidiaries had approximately $3.7 billion aggregate principal amount of indebtedness outstanding, which includes approximately $1.4 billion principal amount of senior secured term loans (the "Term Loan") outstanding and $1,225.0 million senior unsecured notes due 2032 (the "2032 Unsecured Notes"). As of December 31, 2025, we had no outstanding</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2"/>
          <w:szCs w:val="12"/>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5"/>
          <w:szCs w:val="15"/>
          <w:color w:val="auto"/>
        </w:rPr>
        <w:t>borrowings under our $703.8 million senior secured revolving credit facility (the "Revolver" and, together with the Term Loan, the "Secured Credit Facilities" and, together with the 2032 Unsecured Notes, the "Senior Indebtedness"). After giving effect to the $11.0 million principal amount of outstanding letters of credit issued under our Revolver, we had $692.8 million of unused commitments available to be borrowed under the Revolver. In addition to the Senior Indebtedness, our aggregate principal amount of indebtedness outstanding includes approximately $1.1 billion of notes payable and finance lease obligations primarily related to property and equipment for operations. Our level of indebtedness increases the risk that we may be unable to generate cash sufficient to pay amounts due in respect of our indebtedness. In addition, subject to applicable restrictions under our Senior Indebtedness, we may incur significant additional indebtedness, which may be secured, from time to time, which could have important consequences, including:</w:t>
      </w:r>
    </w:p>
    <w:p>
      <w:pPr>
        <w:spacing w:after="0" w:line="69" w:lineRule="exact"/>
        <w:rPr>
          <w:sz w:val="20"/>
          <w:szCs w:val="20"/>
          <w:color w:val="auto"/>
        </w:rPr>
      </w:pPr>
    </w:p>
    <w:p>
      <w:pPr>
        <w:ind w:left="620" w:hanging="307"/>
        <w:spacing w:after="0"/>
        <w:tabs>
          <w:tab w:leader="none" w:pos="62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making it more difficult for us to satisfy our obligations with respect to our indebtedness;</w:t>
      </w:r>
    </w:p>
    <w:p>
      <w:pPr>
        <w:spacing w:after="0" w:line="124" w:lineRule="exact"/>
        <w:rPr>
          <w:rFonts w:ascii="Times New Roman" w:cs="Times New Roman" w:eastAsia="Times New Roman" w:hAnsi="Times New Roman"/>
          <w:sz w:val="15"/>
          <w:szCs w:val="15"/>
          <w:color w:val="auto"/>
        </w:rPr>
      </w:pPr>
    </w:p>
    <w:p>
      <w:pPr>
        <w:ind w:left="620" w:hanging="307"/>
        <w:spacing w:after="0"/>
        <w:tabs>
          <w:tab w:leader="none" w:pos="62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making us more vulnerable to adverse changes in general economic, industry and competitive conditions and adverse changes in government regulation;</w:t>
      </w:r>
    </w:p>
    <w:p>
      <w:pPr>
        <w:spacing w:after="0" w:line="111" w:lineRule="exact"/>
        <w:rPr>
          <w:rFonts w:ascii="Times New Roman" w:cs="Times New Roman" w:eastAsia="Times New Roman" w:hAnsi="Times New Roman"/>
          <w:sz w:val="15"/>
          <w:szCs w:val="15"/>
          <w:color w:val="auto"/>
        </w:rPr>
      </w:pPr>
    </w:p>
    <w:p>
      <w:pPr>
        <w:ind w:left="620" w:hanging="307"/>
        <w:spacing w:after="0" w:line="307" w:lineRule="auto"/>
        <w:tabs>
          <w:tab w:leader="none" w:pos="609"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requiring us to dedicate a substantial portion of our cash flow to making payments on our indebtedness, thereby reducing the availability of our cash flow to fund working capital, capital expenditures and other general corporate purposes;</w:t>
      </w:r>
    </w:p>
    <w:p>
      <w:pPr>
        <w:spacing w:after="0" w:line="35" w:lineRule="exact"/>
        <w:rPr>
          <w:rFonts w:ascii="Times New Roman" w:cs="Times New Roman" w:eastAsia="Times New Roman" w:hAnsi="Times New Roman"/>
          <w:sz w:val="15"/>
          <w:szCs w:val="15"/>
          <w:color w:val="auto"/>
        </w:rPr>
      </w:pPr>
    </w:p>
    <w:p>
      <w:pPr>
        <w:ind w:left="620" w:hanging="307"/>
        <w:spacing w:after="0"/>
        <w:tabs>
          <w:tab w:leader="none" w:pos="62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limiting our flexibility in reacting to competitive and other changes in our industry and economic conditions generally; and</w:t>
      </w:r>
    </w:p>
    <w:p>
      <w:pPr>
        <w:spacing w:after="0" w:line="111" w:lineRule="exact"/>
        <w:rPr>
          <w:rFonts w:ascii="Times New Roman" w:cs="Times New Roman" w:eastAsia="Times New Roman" w:hAnsi="Times New Roman"/>
          <w:sz w:val="15"/>
          <w:szCs w:val="15"/>
          <w:color w:val="auto"/>
        </w:rPr>
      </w:pPr>
    </w:p>
    <w:p>
      <w:pPr>
        <w:ind w:left="620" w:hanging="307"/>
        <w:spacing w:after="0" w:line="307" w:lineRule="auto"/>
        <w:tabs>
          <w:tab w:leader="none" w:pos="609"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limiting our ability to raise additional capital for working capital, capital expenditures, acquisitions, debt service requirements, execution of our business strategy or other general corporate purposes.</w:t>
      </w:r>
    </w:p>
    <w:p>
      <w:pPr>
        <w:spacing w:after="0" w:line="32"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5"/>
          <w:szCs w:val="15"/>
          <w:b w:val="1"/>
          <w:bCs w:val="1"/>
          <w:color w:val="auto"/>
        </w:rPr>
        <w:t>To service our indebtedness, we will require a significant amount of cash. Our ability to generate cash depends on many factors beyond our control, and any failure to meet our debt service obligations may adversely affect our business, financial condition and results of operations.</w:t>
      </w:r>
    </w:p>
    <w:p>
      <w:pPr>
        <w:spacing w:after="0" w:line="58" w:lineRule="exact"/>
        <w:rPr>
          <w:sz w:val="20"/>
          <w:szCs w:val="20"/>
          <w:color w:val="auto"/>
        </w:rPr>
      </w:pPr>
    </w:p>
    <w:p>
      <w:pPr>
        <w:jc w:val="both"/>
        <w:ind w:firstLine="309"/>
        <w:spacing w:after="0" w:line="292" w:lineRule="auto"/>
        <w:rPr>
          <w:sz w:val="20"/>
          <w:szCs w:val="20"/>
          <w:color w:val="auto"/>
        </w:rPr>
      </w:pPr>
      <w:r>
        <w:rPr>
          <w:rFonts w:ascii="Times New Roman" w:cs="Times New Roman" w:eastAsia="Times New Roman" w:hAnsi="Times New Roman"/>
          <w:sz w:val="15"/>
          <w:szCs w:val="15"/>
          <w:color w:val="auto"/>
        </w:rPr>
        <w:t>Our ability to pay or to refinance our indebtedness and to fund working capital needs and planned capital expenditures will depend upon our future operating performance and our ability to generate cash, which, to a certain extent, is subject to general economic, financial, competitive, legislative, regulatory, business and other factors that are beyond our control.</w:t>
      </w:r>
    </w:p>
    <w:p>
      <w:pPr>
        <w:spacing w:after="0" w:line="238" w:lineRule="exact"/>
        <w:rPr>
          <w:sz w:val="20"/>
          <w:szCs w:val="20"/>
          <w:color w:val="auto"/>
        </w:rPr>
      </w:pPr>
    </w:p>
    <w:p>
      <w:pPr>
        <w:jc w:val="both"/>
        <w:ind w:firstLine="309"/>
        <w:spacing w:after="0" w:line="263" w:lineRule="auto"/>
        <w:rPr>
          <w:sz w:val="20"/>
          <w:szCs w:val="20"/>
          <w:color w:val="auto"/>
        </w:rPr>
      </w:pPr>
      <w:r>
        <w:rPr>
          <w:rFonts w:ascii="Times New Roman" w:cs="Times New Roman" w:eastAsia="Times New Roman" w:hAnsi="Times New Roman"/>
          <w:sz w:val="15"/>
          <w:szCs w:val="15"/>
          <w:color w:val="auto"/>
        </w:rPr>
        <w:t>If our business does not generate sufficient cash flow or if future borrowings are not available to us in an amount sufficient to enable us to pay our indebtedness or to fund our other liquidity needs, we may need to refinance all or a portion of our indebtedness on or before the maturity thereof, sell assets, reduce or delay capital investments or seek to raise additional capital, any of which could have a material adverse effect on our operations. In addition, we may not be able to affect any of these actions, if necessary, on commercially-reasonable terms or at all. Our history of net losses may impair our ability to service our indebtedness or repay outstanding amounts when they become due. In addition, our ability to restructure or refinance our indebtedness will depend on the condition of the capital markets and our financial condition at such time. Any refinancing of our debt could be at higher interest rates and may require us to comply with more onerous covenants, and also might include incurring additional fees in connection with refinancing, which could further restrict our business operations. The terms of existing or future debt instruments may limit or prevent us from taking any of these actions. In addition, any failure to make scheduled payments of interest and principal on our outstanding indebtedness would likely result in a reduction of our credit rating, which could harm our ability to incur additional indebtedness on commercially-reasonable terms or at all. Our inability to generate sufficient cash flow to satisfy our debt service obligations, or to refinance or restructure our obligations on commercially reasonable terms or at all, may adversely affect our business, financial condition and results of operations.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Restrictive covenants in our debt instruments may adversely affect us.</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The Senior Indebtedness imposes significant operating and financial restrictions and limit the ability of us and our restricted subsidiaries to, among other things:</w:t>
      </w:r>
    </w:p>
    <w:p>
      <w:pPr>
        <w:spacing w:after="0" w:line="124" w:lineRule="exact"/>
        <w:rPr>
          <w:sz w:val="20"/>
          <w:szCs w:val="20"/>
          <w:color w:val="auto"/>
        </w:rPr>
      </w:pPr>
    </w:p>
    <w:p>
      <w:pPr>
        <w:ind w:left="620" w:hanging="307"/>
        <w:spacing w:after="0"/>
        <w:tabs>
          <w:tab w:leader="none" w:pos="62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incur additional indebtedness and guarantee indebtedness;</w:t>
      </w:r>
    </w:p>
    <w:p>
      <w:pPr>
        <w:spacing w:after="0" w:line="111" w:lineRule="exact"/>
        <w:rPr>
          <w:rFonts w:ascii="Times New Roman" w:cs="Times New Roman" w:eastAsia="Times New Roman" w:hAnsi="Times New Roman"/>
          <w:sz w:val="15"/>
          <w:szCs w:val="15"/>
          <w:color w:val="auto"/>
        </w:rPr>
      </w:pPr>
    </w:p>
    <w:p>
      <w:pPr>
        <w:ind w:left="620" w:hanging="307"/>
        <w:spacing w:after="0"/>
        <w:tabs>
          <w:tab w:leader="none" w:pos="62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pay dividends or make other distributions in respect of, or repurchase or redeem, capital stock;</w:t>
      </w:r>
    </w:p>
    <w:p>
      <w:pPr>
        <w:spacing w:after="0" w:line="124" w:lineRule="exact"/>
        <w:rPr>
          <w:rFonts w:ascii="Times New Roman" w:cs="Times New Roman" w:eastAsia="Times New Roman" w:hAnsi="Times New Roman"/>
          <w:sz w:val="15"/>
          <w:szCs w:val="15"/>
          <w:color w:val="auto"/>
        </w:rPr>
      </w:pPr>
    </w:p>
    <w:p>
      <w:pPr>
        <w:ind w:left="620" w:hanging="307"/>
        <w:spacing w:after="0"/>
        <w:tabs>
          <w:tab w:leader="none" w:pos="62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prepay, redeem or repurchase certain debt;</w:t>
      </w:r>
    </w:p>
    <w:p>
      <w:pPr>
        <w:spacing w:after="0" w:line="111" w:lineRule="exact"/>
        <w:rPr>
          <w:rFonts w:ascii="Times New Roman" w:cs="Times New Roman" w:eastAsia="Times New Roman" w:hAnsi="Times New Roman"/>
          <w:sz w:val="15"/>
          <w:szCs w:val="15"/>
          <w:color w:val="auto"/>
        </w:rPr>
      </w:pPr>
    </w:p>
    <w:p>
      <w:pPr>
        <w:ind w:left="620" w:hanging="307"/>
        <w:spacing w:after="0"/>
        <w:tabs>
          <w:tab w:leader="none" w:pos="62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make loans and investments;</w:t>
      </w:r>
    </w:p>
    <w:p>
      <w:pPr>
        <w:spacing w:after="0" w:line="111" w:lineRule="exact"/>
        <w:rPr>
          <w:rFonts w:ascii="Times New Roman" w:cs="Times New Roman" w:eastAsia="Times New Roman" w:hAnsi="Times New Roman"/>
          <w:sz w:val="15"/>
          <w:szCs w:val="15"/>
          <w:color w:val="auto"/>
        </w:rPr>
      </w:pPr>
    </w:p>
    <w:p>
      <w:pPr>
        <w:ind w:left="620" w:hanging="307"/>
        <w:spacing w:after="0"/>
        <w:tabs>
          <w:tab w:leader="none" w:pos="62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sell or otherwise dispose of assets;</w:t>
      </w:r>
    </w:p>
    <w:p>
      <w:pPr>
        <w:spacing w:after="0" w:line="124" w:lineRule="exact"/>
        <w:rPr>
          <w:rFonts w:ascii="Times New Roman" w:cs="Times New Roman" w:eastAsia="Times New Roman" w:hAnsi="Times New Roman"/>
          <w:sz w:val="15"/>
          <w:szCs w:val="15"/>
          <w:color w:val="auto"/>
        </w:rPr>
      </w:pPr>
    </w:p>
    <w:p>
      <w:pPr>
        <w:ind w:left="620" w:hanging="307"/>
        <w:spacing w:after="0"/>
        <w:tabs>
          <w:tab w:leader="none" w:pos="62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sell stock of our subsidiaries;</w:t>
      </w:r>
    </w:p>
    <w:p>
      <w:pPr>
        <w:spacing w:after="0" w:line="111" w:lineRule="exact"/>
        <w:rPr>
          <w:rFonts w:ascii="Times New Roman" w:cs="Times New Roman" w:eastAsia="Times New Roman" w:hAnsi="Times New Roman"/>
          <w:sz w:val="15"/>
          <w:szCs w:val="15"/>
          <w:color w:val="auto"/>
        </w:rPr>
      </w:pPr>
    </w:p>
    <w:p>
      <w:pPr>
        <w:ind w:left="620" w:hanging="307"/>
        <w:spacing w:after="0"/>
        <w:tabs>
          <w:tab w:leader="none" w:pos="62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incur liens;</w:t>
      </w:r>
    </w:p>
    <w:p>
      <w:pPr>
        <w:spacing w:after="0" w:line="111" w:lineRule="exact"/>
        <w:rPr>
          <w:rFonts w:ascii="Times New Roman" w:cs="Times New Roman" w:eastAsia="Times New Roman" w:hAnsi="Times New Roman"/>
          <w:sz w:val="15"/>
          <w:szCs w:val="15"/>
          <w:color w:val="auto"/>
        </w:rPr>
      </w:pPr>
    </w:p>
    <w:p>
      <w:pPr>
        <w:ind w:left="620" w:hanging="307"/>
        <w:spacing w:after="0"/>
        <w:tabs>
          <w:tab w:leader="none" w:pos="62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enter into transactions with affiliates;</w:t>
      </w:r>
    </w:p>
    <w:p>
      <w:pPr>
        <w:spacing w:after="0" w:line="124" w:lineRule="exact"/>
        <w:rPr>
          <w:rFonts w:ascii="Times New Roman" w:cs="Times New Roman" w:eastAsia="Times New Roman" w:hAnsi="Times New Roman"/>
          <w:sz w:val="15"/>
          <w:szCs w:val="15"/>
          <w:color w:val="auto"/>
        </w:rPr>
      </w:pPr>
    </w:p>
    <w:p>
      <w:pPr>
        <w:ind w:left="620" w:hanging="307"/>
        <w:spacing w:after="0"/>
        <w:tabs>
          <w:tab w:leader="none" w:pos="62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enter into agreements restricting certain of our subsidiaries’ ability to pay dividends; and</w:t>
      </w:r>
    </w:p>
    <w:p>
      <w:pPr>
        <w:spacing w:after="0" w:line="111" w:lineRule="exact"/>
        <w:rPr>
          <w:rFonts w:ascii="Times New Roman" w:cs="Times New Roman" w:eastAsia="Times New Roman" w:hAnsi="Times New Roman"/>
          <w:sz w:val="15"/>
          <w:szCs w:val="15"/>
          <w:color w:val="auto"/>
        </w:rPr>
      </w:pPr>
    </w:p>
    <w:p>
      <w:pPr>
        <w:ind w:left="620" w:hanging="307"/>
        <w:spacing w:after="0"/>
        <w:tabs>
          <w:tab w:leader="none" w:pos="62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consolidate, merge or sell all or substantially all of our assets.</w:t>
      </w:r>
    </w:p>
    <w:p>
      <w:pPr>
        <w:spacing w:after="0" w:line="124" w:lineRule="exact"/>
        <w:rPr>
          <w:sz w:val="20"/>
          <w:szCs w:val="20"/>
          <w:color w:val="auto"/>
        </w:rPr>
      </w:pPr>
    </w:p>
    <w:p>
      <w:pPr>
        <w:ind w:firstLine="309"/>
        <w:spacing w:after="0" w:line="289" w:lineRule="auto"/>
        <w:rPr>
          <w:sz w:val="20"/>
          <w:szCs w:val="20"/>
          <w:color w:val="auto"/>
        </w:rPr>
      </w:pPr>
      <w:r>
        <w:rPr>
          <w:rFonts w:ascii="Times New Roman" w:cs="Times New Roman" w:eastAsia="Times New Roman" w:hAnsi="Times New Roman"/>
          <w:sz w:val="15"/>
          <w:szCs w:val="15"/>
          <w:color w:val="auto"/>
        </w:rPr>
        <w:t>As a result of these and other covenants and restrictions, we may be limited in how we conduct our business. In addition, we may be required to maintain a specified financial maintenance ratio in connection with the Senior Indebtedness if the Revolver is utilized in excess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2"/>
          <w:szCs w:val="12"/>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5"/>
          <w:szCs w:val="15"/>
          <w:color w:val="auto"/>
        </w:rPr>
        <w:t>of a specified threshold. The terms of any future indebtedness we may incur could include more restrictive covenants. We cannot assure you that we will be able to maintain compliance with these covenants in the future and, if we fail to do so, that we will be able to obtain waivers from the lenders and/or amend the covenants. Our failure to comply with the restrictive covenants described above as well as others contained in our future debt instruments from time to time could result in an event of default, which, if not cured or waived, could result in our being required to repay these borrowings before their maturity. If we are forced to refinance these borrowings on less favorable terms, our results of operations and financial condition could be adversely affected.</w:t>
      </w:r>
    </w:p>
    <w:p>
      <w:pPr>
        <w:spacing w:after="0" w:line="65" w:lineRule="exact"/>
        <w:rPr>
          <w:sz w:val="20"/>
          <w:szCs w:val="20"/>
          <w:color w:val="auto"/>
        </w:rPr>
      </w:pPr>
    </w:p>
    <w:p>
      <w:pPr>
        <w:jc w:val="both"/>
        <w:ind w:firstLine="309"/>
        <w:spacing w:after="0" w:line="269" w:lineRule="auto"/>
        <w:rPr>
          <w:sz w:val="20"/>
          <w:szCs w:val="20"/>
          <w:color w:val="auto"/>
        </w:rPr>
      </w:pPr>
      <w:r>
        <w:rPr>
          <w:rFonts w:ascii="Times New Roman" w:cs="Times New Roman" w:eastAsia="Times New Roman" w:hAnsi="Times New Roman"/>
          <w:sz w:val="15"/>
          <w:szCs w:val="15"/>
          <w:color w:val="auto"/>
        </w:rPr>
        <w:t>We cannot assure you that our business will generate sufficient cash flow from operations, that currently anticipated revenue growth and operating improvements will be realized or that future borrowings will be available to us under the Term Loan and Revolver in amounts sufficient to enable us to pay our indebtedness, or to fund our other liquidity needs. If we are unable to meet our debt service obligations or fund our other liquidity needs, we could attempt to restructure or refinance our indebtedness or seek additional equity capital. We cannot assure you that we will be able to accomplish those actions on satisfactory terms, if at all.</w:t>
      </w:r>
    </w:p>
    <w:p>
      <w:pPr>
        <w:spacing w:after="0" w:line="7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5"/>
          <w:szCs w:val="15"/>
          <w:b w:val="1"/>
          <w:bCs w:val="1"/>
          <w:color w:val="auto"/>
        </w:rPr>
        <w:t>Despite our current indebtedness levels, we and our subsidiaries may still be able to incur more debt, which could further exacerbate the risks associated with our leverage.</w:t>
      </w:r>
    </w:p>
    <w:p>
      <w:pPr>
        <w:spacing w:after="0" w:line="276" w:lineRule="exact"/>
        <w:rPr>
          <w:sz w:val="20"/>
          <w:szCs w:val="20"/>
          <w:color w:val="auto"/>
        </w:rPr>
      </w:pPr>
    </w:p>
    <w:p>
      <w:pPr>
        <w:jc w:val="both"/>
        <w:ind w:firstLine="309"/>
        <w:spacing w:after="0" w:line="279" w:lineRule="auto"/>
        <w:rPr>
          <w:sz w:val="20"/>
          <w:szCs w:val="20"/>
          <w:color w:val="auto"/>
        </w:rPr>
      </w:pPr>
      <w:r>
        <w:rPr>
          <w:rFonts w:ascii="Times New Roman" w:cs="Times New Roman" w:eastAsia="Times New Roman" w:hAnsi="Times New Roman"/>
          <w:sz w:val="15"/>
          <w:szCs w:val="15"/>
          <w:color w:val="auto"/>
        </w:rPr>
        <w:t>We and our subsidiaries may be able to incur additional indebtedness in the future, including secured indebtedness. Although the credit agreement governing the Secured Credit Facilities and the indentures governing the 2032 Unsecured Notes contain restrictions on the incurrence of additional indebtedness, these restrictions are subject to a number of significant qualifications and exceptions, and the indebtedness incurred in compliance with these restrictions could be substantial.</w:t>
      </w:r>
    </w:p>
    <w:p>
      <w:pPr>
        <w:spacing w:after="0" w:line="56" w:lineRule="exact"/>
        <w:rPr>
          <w:sz w:val="20"/>
          <w:szCs w:val="20"/>
          <w:color w:val="auto"/>
        </w:rPr>
      </w:pPr>
    </w:p>
    <w:p>
      <w:pPr>
        <w:jc w:val="both"/>
        <w:ind w:firstLine="309"/>
        <w:spacing w:after="0" w:line="279" w:lineRule="auto"/>
        <w:rPr>
          <w:sz w:val="20"/>
          <w:szCs w:val="20"/>
          <w:color w:val="auto"/>
        </w:rPr>
      </w:pPr>
      <w:r>
        <w:rPr>
          <w:rFonts w:ascii="Times New Roman" w:cs="Times New Roman" w:eastAsia="Times New Roman" w:hAnsi="Times New Roman"/>
          <w:sz w:val="15"/>
          <w:szCs w:val="15"/>
          <w:color w:val="auto"/>
        </w:rPr>
        <w:t>In addition, as of December 31, 2025, we had approximately $692.8 million available for additional borrowings under the Revolver (after giving effect to the $11.0 million aggregate principal amount of outstanding letters of credit issued under our Revolver at such time). If new debt is added to our or our subsidiaries’ current debt levels, the related risks that we face would be increased.</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We are a holding company with no operations of our own.</w:t>
      </w:r>
    </w:p>
    <w:p>
      <w:pPr>
        <w:spacing w:after="0" w:line="115" w:lineRule="exact"/>
        <w:rPr>
          <w:sz w:val="20"/>
          <w:szCs w:val="20"/>
          <w:color w:val="auto"/>
        </w:rPr>
      </w:pPr>
    </w:p>
    <w:p>
      <w:pPr>
        <w:jc w:val="both"/>
        <w:ind w:firstLine="309"/>
        <w:spacing w:after="0" w:line="265" w:lineRule="auto"/>
        <w:rPr>
          <w:sz w:val="20"/>
          <w:szCs w:val="20"/>
          <w:color w:val="auto"/>
        </w:rPr>
      </w:pPr>
      <w:r>
        <w:rPr>
          <w:rFonts w:ascii="Times New Roman" w:cs="Times New Roman" w:eastAsia="Times New Roman" w:hAnsi="Times New Roman"/>
          <w:sz w:val="15"/>
          <w:szCs w:val="15"/>
          <w:color w:val="auto"/>
        </w:rPr>
        <w:t>We are a holding company, and our ability to service our debt is dependent upon the earnings from the business conducted by our subsidiaries that operate the surgical facilities. The effect of this structure is that we depend on the earnings of our subsidiaries, and the distribution or payment to us of a portion of these earnings to meet our obligations, including those under the Senior Indebtedness and any of our other debt obligations. The distributions of those earnings, advances or other distributions of funds by these entities to us, all of which are contingent upon our subsidiaries’ earnings, are subject to various business considerations. In addition, distributions by our subsidiaries could be subject to statutory restrictions, including state laws requiring that such subsidiaries be solvent, or contractual restrictions. Some of our subsidiaries may become subject to agreements that restrict the sale of assets and significantly restrict or prohibit the payment of dividends or the making of distributions, loans or other payments to stockholders, partners or members.</w:t>
      </w:r>
    </w:p>
    <w:p>
      <w:pPr>
        <w:spacing w:after="0" w:line="65" w:lineRule="exact"/>
        <w:rPr>
          <w:sz w:val="20"/>
          <w:szCs w:val="20"/>
          <w:color w:val="auto"/>
        </w:rPr>
      </w:pPr>
    </w:p>
    <w:p>
      <w:pPr>
        <w:jc w:val="both"/>
        <w:spacing w:after="0" w:line="312" w:lineRule="auto"/>
        <w:rPr>
          <w:sz w:val="20"/>
          <w:szCs w:val="20"/>
          <w:color w:val="auto"/>
        </w:rPr>
      </w:pPr>
      <w:r>
        <w:rPr>
          <w:rFonts w:ascii="Times New Roman" w:cs="Times New Roman" w:eastAsia="Times New Roman" w:hAnsi="Times New Roman"/>
          <w:sz w:val="15"/>
          <w:szCs w:val="15"/>
          <w:b w:val="1"/>
          <w:bCs w:val="1"/>
          <w:color w:val="auto"/>
        </w:rPr>
        <w:t>We make significant loans to, and are generally liable for debts and other obligations of, the partnerships and limited liability companies that own and operate some of our surgical facilities.</w:t>
      </w:r>
    </w:p>
    <w:p>
      <w:pPr>
        <w:spacing w:after="0" w:line="33" w:lineRule="exact"/>
        <w:rPr>
          <w:sz w:val="20"/>
          <w:szCs w:val="20"/>
          <w:color w:val="auto"/>
        </w:rPr>
      </w:pPr>
    </w:p>
    <w:p>
      <w:pPr>
        <w:jc w:val="both"/>
        <w:ind w:firstLine="309"/>
        <w:spacing w:after="0" w:line="271" w:lineRule="auto"/>
        <w:rPr>
          <w:sz w:val="20"/>
          <w:szCs w:val="20"/>
          <w:color w:val="auto"/>
        </w:rPr>
      </w:pPr>
      <w:r>
        <w:rPr>
          <w:rFonts w:ascii="Times New Roman" w:cs="Times New Roman" w:eastAsia="Times New Roman" w:hAnsi="Times New Roman"/>
          <w:sz w:val="15"/>
          <w:szCs w:val="15"/>
          <w:color w:val="auto"/>
        </w:rPr>
        <w:t>For some of our surgical facilities, indebtedness at the partnership, or LLC level is funded through intercompany loans that we provide. At December 31, 2025, our intercompany loans totaled $44.2 million. Through these loans we may have a security interest in the partnership’s or LLC's assets, depending upon the terms thereof in each instance. However, our financial condition and results of operations would be materially adversely affected if our surgical facilities are unable to repay these intercompany loans, or such loans are challenged under certain health care laws. Additionally, at December 31, 2025, our global intercompany note, which we use to transfer debt balances between our subsidiaries, had a zero balance.</w:t>
      </w:r>
    </w:p>
    <w:p>
      <w:pPr>
        <w:spacing w:after="0" w:line="252" w:lineRule="exact"/>
        <w:rPr>
          <w:sz w:val="20"/>
          <w:szCs w:val="20"/>
          <w:color w:val="auto"/>
        </w:rPr>
      </w:pPr>
    </w:p>
    <w:p>
      <w:pPr>
        <w:jc w:val="both"/>
        <w:ind w:firstLine="309"/>
        <w:spacing w:after="0" w:line="307" w:lineRule="auto"/>
        <w:rPr>
          <w:sz w:val="20"/>
          <w:szCs w:val="20"/>
          <w:color w:val="auto"/>
        </w:rPr>
      </w:pPr>
      <w:r>
        <w:rPr>
          <w:rFonts w:ascii="Times New Roman" w:cs="Times New Roman" w:eastAsia="Times New Roman" w:hAnsi="Times New Roman"/>
          <w:sz w:val="15"/>
          <w:szCs w:val="15"/>
          <w:color w:val="auto"/>
        </w:rPr>
        <w:t>Although most of our intercompany loans are secured by the assets of the partnership or LLC, the physicians and physician groups that own an interest in these partnerships and LLCs generally do not guarantee a pro rata amount of this debt or the other obligations of these partnerships and LLCs.</w:t>
      </w:r>
    </w:p>
    <w:p>
      <w:pPr>
        <w:spacing w:after="0" w:line="36" w:lineRule="exact"/>
        <w:rPr>
          <w:sz w:val="20"/>
          <w:szCs w:val="20"/>
          <w:color w:val="auto"/>
        </w:rPr>
      </w:pPr>
    </w:p>
    <w:p>
      <w:pPr>
        <w:jc w:val="both"/>
        <w:ind w:firstLine="309"/>
        <w:spacing w:after="0" w:line="279" w:lineRule="auto"/>
        <w:rPr>
          <w:sz w:val="20"/>
          <w:szCs w:val="20"/>
          <w:color w:val="auto"/>
        </w:rPr>
      </w:pPr>
      <w:r>
        <w:rPr>
          <w:rFonts w:ascii="Times New Roman" w:cs="Times New Roman" w:eastAsia="Times New Roman" w:hAnsi="Times New Roman"/>
          <w:sz w:val="15"/>
          <w:szCs w:val="15"/>
          <w:color w:val="auto"/>
        </w:rPr>
        <w:t>From time to time, we may guarantee our pro-rata share of the third-party debts and other obligations of our non-wholly owned non-consolidated partnerships and LLCs in which we own an interest in an amount proportionate to our pro rata share of the equity interests issued by such entity. In such instances, the physicians and/or physician groups typically also guarantee their pro-rata share of such indebtedness.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Our variable rate indebtedness subjects us to interest rate risk, which could cause our indebtedness service obligations to increase significantly.</w:t>
      </w:r>
    </w:p>
    <w:p>
      <w:pPr>
        <w:spacing w:after="0" w:line="115" w:lineRule="exact"/>
        <w:rPr>
          <w:sz w:val="20"/>
          <w:szCs w:val="20"/>
          <w:color w:val="auto"/>
        </w:rPr>
      </w:pPr>
    </w:p>
    <w:p>
      <w:pPr>
        <w:jc w:val="both"/>
        <w:ind w:firstLine="309"/>
        <w:spacing w:after="0" w:line="266" w:lineRule="auto"/>
        <w:rPr>
          <w:sz w:val="20"/>
          <w:szCs w:val="20"/>
          <w:color w:val="auto"/>
        </w:rPr>
      </w:pPr>
      <w:r>
        <w:rPr>
          <w:rFonts w:ascii="Times New Roman" w:cs="Times New Roman" w:eastAsia="Times New Roman" w:hAnsi="Times New Roman"/>
          <w:sz w:val="15"/>
          <w:szCs w:val="15"/>
          <w:color w:val="auto"/>
        </w:rPr>
        <w:t>Borrowings under the Secured Credit Facilities are at variable rates of interest and expose us to interest rate risk. If interest rates increase, our debt service obligations on variable rate indebtedness would increase even though the amount borrowed remained the same, and our net income and cash flows, including cash available for servicing our indebtedness, would correspondingly decrease. We periodically enter into interest rate swap agreements and interest rate cap agreements to manage our exposure to these fluctuations. Our interest rate swap agreements and interest rate cap agreements involve the exchange of fixed and variable rate interest payments between two parties, based on common notional principal amounts and maturity dates. The notional amounts of the swap and cap agreements represent balances used to calculate the exchange of cash flows and are not our assets or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2"/>
          <w:szCs w:val="12"/>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Any refinancing of our debt could be at higher interest rates and may require us to comply with more onerous covenants, which could further restrict our business operations.</w:t>
      </w:r>
    </w:p>
    <w:p>
      <w:pPr>
        <w:spacing w:after="0" w:line="10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b w:val="1"/>
          <w:bCs w:val="1"/>
          <w:color w:val="auto"/>
        </w:rPr>
        <w:t>We may be limited in our ability to utilize, or may not be able to utilize, net operating loss carryforwards to reduce our future tax liability.</w:t>
      </w:r>
    </w:p>
    <w:p>
      <w:pPr>
        <w:spacing w:after="0" w:line="128" w:lineRule="exact"/>
        <w:rPr>
          <w:sz w:val="20"/>
          <w:szCs w:val="20"/>
          <w:color w:val="auto"/>
        </w:rPr>
      </w:pPr>
    </w:p>
    <w:p>
      <w:pPr>
        <w:jc w:val="both"/>
        <w:ind w:firstLine="309"/>
        <w:spacing w:after="0" w:line="263" w:lineRule="auto"/>
        <w:rPr>
          <w:sz w:val="20"/>
          <w:szCs w:val="20"/>
          <w:color w:val="auto"/>
        </w:rPr>
      </w:pPr>
      <w:r>
        <w:rPr>
          <w:rFonts w:ascii="Times New Roman" w:cs="Times New Roman" w:eastAsia="Times New Roman" w:hAnsi="Times New Roman"/>
          <w:sz w:val="15"/>
          <w:szCs w:val="15"/>
          <w:color w:val="auto"/>
        </w:rPr>
        <w:t>As of December 31, 2025, we had U.S. federal net operating loss ("NOL") carryforwards of approximately $532.4 million and state NOL carryforwards of approximately $657.1 million, which may be limited annually due to certain change in ownership provisions of Section 382 of the Internal Revenue Code of 1986 ("Section 382"), as amended (the "Code"). The Company has Section 382 limitations due to certain historical acquisitions; however, these limitations, when combined with amounts allowable due to net unrecognized built in gains, are not expected to impact the realization of the deferred tax assets associated with these NOLs. The Company has $424.6 million of federal NOL carryforwards that will begin to expire in 2031 and will completely expire in 2037. The remaining federal NOL carryforwards, which were generated after 2017, do not expire. Our state NOL carryforwards will expire between 2026 and 2045. Future ownership changes may subject our NOL carryforwards to further annual limitations, which could restrict our ability to use them to offset our taxable income in periods following the ownership changes.</w:t>
      </w:r>
    </w:p>
    <w:p>
      <w:pPr>
        <w:spacing w:after="0" w:line="78"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5"/>
          <w:szCs w:val="15"/>
          <w:b w:val="1"/>
          <w:bCs w:val="1"/>
          <w:color w:val="auto"/>
        </w:rPr>
        <w:t>Cybersecurity and Data Risks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Cybersecurity attacks or intrusions could adversely impact our businesses.</w:t>
      </w:r>
    </w:p>
    <w:p>
      <w:pPr>
        <w:spacing w:after="0" w:line="115" w:lineRule="exact"/>
        <w:rPr>
          <w:sz w:val="20"/>
          <w:szCs w:val="20"/>
          <w:color w:val="auto"/>
        </w:rPr>
      </w:pPr>
    </w:p>
    <w:p>
      <w:pPr>
        <w:jc w:val="both"/>
        <w:ind w:firstLine="309"/>
        <w:spacing w:after="0" w:line="267" w:lineRule="auto"/>
        <w:rPr>
          <w:sz w:val="20"/>
          <w:szCs w:val="20"/>
          <w:color w:val="auto"/>
        </w:rPr>
      </w:pPr>
      <w:r>
        <w:rPr>
          <w:rFonts w:ascii="Times New Roman" w:cs="Times New Roman" w:eastAsia="Times New Roman" w:hAnsi="Times New Roman"/>
          <w:sz w:val="15"/>
          <w:szCs w:val="15"/>
          <w:color w:val="auto"/>
        </w:rPr>
        <w:t>We, independently and through third-party vendors, collect and store on our networks and devices sensitive information, including intellectual property, proprietary business information and personally identifiable information of our patients and employees. Information security risks have generally increased in recent years because of threats from malicious persons and groups, new vulnerabilities, the proliferation of new technologies and the increased sophistication and activities of perpetrators of cyber-attacks. A failure in or breach of our operational or information security systems as a result of cyber-attacks or information security breaches could disrupt our business, result in the loss, disclosure or misuse of confidential or proprietary information, damage our reputation, increase our costs or lead to fines and financial losses. As a result, cybersecurity and the continued development and enhancement of the controls and processes designed to protect our systems, computers, software, data and networks from attack, damage or unauthorized access remain a priority for us.</w:t>
      </w:r>
    </w:p>
    <w:p>
      <w:pPr>
        <w:spacing w:after="0" w:line="254" w:lineRule="exact"/>
        <w:rPr>
          <w:sz w:val="20"/>
          <w:szCs w:val="20"/>
          <w:color w:val="auto"/>
        </w:rPr>
      </w:pPr>
    </w:p>
    <w:p>
      <w:pPr>
        <w:jc w:val="both"/>
        <w:ind w:firstLine="309"/>
        <w:spacing w:after="0" w:line="271" w:lineRule="auto"/>
        <w:rPr>
          <w:sz w:val="20"/>
          <w:szCs w:val="20"/>
          <w:color w:val="auto"/>
        </w:rPr>
      </w:pPr>
      <w:r>
        <w:rPr>
          <w:rFonts w:ascii="Times New Roman" w:cs="Times New Roman" w:eastAsia="Times New Roman" w:hAnsi="Times New Roman"/>
          <w:sz w:val="15"/>
          <w:szCs w:val="15"/>
          <w:color w:val="auto"/>
        </w:rPr>
        <w:t>We and our third-party vendors have been and likely will continue to be subject to cybersecurity attacks. Although there has been no material impact on our business or operations from these attempted attacks, there can be no assurance that we or our third-party vendors will not be subject to cybersecurity incidents that bypass our security measures, impact the integrity, availability or privacy of personal health information or other data subject to privacy laws or disrupt our information systems, devices or business, including our ability to provide various health care services. For example, in May 2023, we experienced an immaterial cybersecurity incident that temporarily disrupted certain facilities in our Idaho market.</w:t>
      </w:r>
    </w:p>
    <w:p>
      <w:pPr>
        <w:spacing w:after="0" w:line="252" w:lineRule="exact"/>
        <w:rPr>
          <w:sz w:val="20"/>
          <w:szCs w:val="20"/>
          <w:color w:val="auto"/>
        </w:rPr>
      </w:pPr>
    </w:p>
    <w:p>
      <w:pPr>
        <w:jc w:val="both"/>
        <w:ind w:firstLine="309"/>
        <w:spacing w:after="0" w:line="273" w:lineRule="auto"/>
        <w:rPr>
          <w:sz w:val="20"/>
          <w:szCs w:val="20"/>
          <w:color w:val="auto"/>
        </w:rPr>
      </w:pPr>
      <w:r>
        <w:rPr>
          <w:rFonts w:ascii="Times New Roman" w:cs="Times New Roman" w:eastAsia="Times New Roman" w:hAnsi="Times New Roman"/>
          <w:sz w:val="15"/>
          <w:szCs w:val="15"/>
          <w:color w:val="auto"/>
        </w:rPr>
        <w:t>The market for cybersecurity insurance is relatively new and coverage available for cybersecurity events may evolve as the industry matures. While we maintain insurance relating to cybersecurity events, such insurance is subject to a number of exclusions and may be insufficient to offset any losses, costs or damage we experience. As cyber threats continue to evolve, we will be required to expend additional resources to continue to enhance our information security measures or to investigate and remediate any information security vulnerabilities.</w:t>
      </w:r>
    </w:p>
    <w:p>
      <w:pPr>
        <w:spacing w:after="0" w:line="258"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5"/>
          <w:szCs w:val="15"/>
          <w:b w:val="1"/>
          <w:bCs w:val="1"/>
          <w:color w:val="auto"/>
        </w:rPr>
        <w:t>Our use and disclosure of personally identifiable information, including health information, is subject to federal and state privacy and security regulations, and our failure to comply with those regulations or to adequately secure the information we hold could result in significant liability or reputational harm.</w:t>
      </w:r>
    </w:p>
    <w:p>
      <w:pPr>
        <w:spacing w:after="0" w:line="46" w:lineRule="exact"/>
        <w:rPr>
          <w:sz w:val="20"/>
          <w:szCs w:val="20"/>
          <w:color w:val="auto"/>
        </w:rPr>
      </w:pPr>
    </w:p>
    <w:p>
      <w:pPr>
        <w:jc w:val="both"/>
        <w:ind w:firstLine="309"/>
        <w:spacing w:after="0" w:line="265" w:lineRule="auto"/>
        <w:rPr>
          <w:sz w:val="20"/>
          <w:szCs w:val="20"/>
          <w:color w:val="auto"/>
        </w:rPr>
      </w:pPr>
      <w:r>
        <w:rPr>
          <w:rFonts w:ascii="Times New Roman" w:cs="Times New Roman" w:eastAsia="Times New Roman" w:hAnsi="Times New Roman"/>
          <w:sz w:val="15"/>
          <w:szCs w:val="15"/>
          <w:color w:val="auto"/>
        </w:rPr>
        <w:t>HIPAA as well as numerous other federal and state laws and regulations, govern the collection, dissemination, use, privacy, security, confidentiality, integrity and availability of personally identifiable information ("PII"), including protected health information ("PHI") by covered entities such as us. Ongoing implementation of administrative, physical and technical safeguards, maintenance of policies and procedures governing use and disclosure of PHI, and oversight of compliance with HIPAA requirements involves significant time, effort and expense. A cyber-attack or other intrusion that bypasses our information security systems causing an information security breach, loss of protected health information or other data subject to privacy laws or a material disruption of our operational systems could result in a material adverse impact on our business, along with potentially substantial fines and penalties. Please see Item 1. “Business-Governmental Regulation-Federal and State Privacy and Security Requirements” included elsewhere in this Annual Report.</w:t>
      </w:r>
    </w:p>
    <w:p>
      <w:pPr>
        <w:spacing w:after="0" w:line="69" w:lineRule="exact"/>
        <w:rPr>
          <w:sz w:val="20"/>
          <w:szCs w:val="20"/>
          <w:color w:val="auto"/>
        </w:rPr>
      </w:pPr>
    </w:p>
    <w:p>
      <w:pPr>
        <w:jc w:val="both"/>
        <w:ind w:firstLine="309"/>
        <w:spacing w:after="0" w:line="244" w:lineRule="auto"/>
        <w:rPr>
          <w:sz w:val="20"/>
          <w:szCs w:val="20"/>
          <w:color w:val="auto"/>
        </w:rPr>
      </w:pPr>
      <w:r>
        <w:rPr>
          <w:rFonts w:ascii="Times New Roman" w:cs="Times New Roman" w:eastAsia="Times New Roman" w:hAnsi="Times New Roman"/>
          <w:sz w:val="15"/>
          <w:szCs w:val="15"/>
          <w:color w:val="auto"/>
        </w:rPr>
        <w:t>Many states in which we operate may impose supplemental laws that are more protective of the privacy and security of PII than HIPAA. Where these state laws are more protective than HIPAA, we have to comply with their stricter provisions. Only some of these state laws impose fines and penalties upon violators, but some may afford private rights of action to individuals who believe their PII has been misused. California’s patient privacy laws, for example, provide for penalties of up to $250,000 and permit injured parties to sue for damages. Both state and federal laws are subject to modification or enhancement of privacy protection at any time. For example, HHS issued a Notice of Proposed Rulemaking on January 6, 2025, which proposes changes to the HIPAA security regulations aimed at enhancing cybersecurity protections in the healthcare sector; however, as of December 31, 2025, HHS had yet to publish a final rule formalizing the January 2025 proposals. Our facilities will continue to remain subject to any federal or state privacy-related laws that are more restrictive than the privacy regulations issued under HIPAA. These statutes vary and could impose additional requirements on us and more severe penalties for disclosures of confidential health information. New health information standards could have a significant effect on the manner in which we do business, and the cost of complying with new standards could be significant. We may not remain in</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2"/>
          <w:szCs w:val="12"/>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5"/>
          <w:szCs w:val="15"/>
          <w:color w:val="auto"/>
        </w:rPr>
        <w:t>compliance with the diverse privacy requirements in all of the jurisdictions in which we do business. If we fail to comply with HIPAA or similar state laws, we could incur substantial civil monetary or criminal penalties.</w:t>
      </w:r>
    </w:p>
    <w:p>
      <w:pPr>
        <w:spacing w:after="0" w:line="19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5"/>
          <w:szCs w:val="15"/>
          <w:b w:val="1"/>
          <w:bCs w:val="1"/>
          <w:color w:val="auto"/>
        </w:rPr>
        <w:t>Legal and Regulatory Risks</w:t>
      </w:r>
    </w:p>
    <w:p>
      <w:pPr>
        <w:spacing w:after="0" w:line="240" w:lineRule="exact"/>
        <w:rPr>
          <w:sz w:val="20"/>
          <w:szCs w:val="20"/>
          <w:color w:val="auto"/>
        </w:rPr>
      </w:pPr>
    </w:p>
    <w:p>
      <w:pPr>
        <w:jc w:val="both"/>
        <w:spacing w:after="0" w:line="312" w:lineRule="auto"/>
        <w:rPr>
          <w:sz w:val="20"/>
          <w:szCs w:val="20"/>
          <w:color w:val="auto"/>
        </w:rPr>
      </w:pPr>
      <w:r>
        <w:rPr>
          <w:rFonts w:ascii="Times New Roman" w:cs="Times New Roman" w:eastAsia="Times New Roman" w:hAnsi="Times New Roman"/>
          <w:sz w:val="15"/>
          <w:szCs w:val="15"/>
          <w:b w:val="1"/>
          <w:bCs w:val="1"/>
          <w:color w:val="auto"/>
        </w:rPr>
        <w:t>We cannot predict the effect that changes in healthcare laws, regulations, policies and government programs may have on our business, financial condition or results of operations.</w:t>
      </w:r>
    </w:p>
    <w:p>
      <w:pPr>
        <w:spacing w:after="0" w:line="161" w:lineRule="exact"/>
        <w:rPr>
          <w:sz w:val="20"/>
          <w:szCs w:val="20"/>
          <w:color w:val="auto"/>
        </w:rPr>
      </w:pPr>
    </w:p>
    <w:p>
      <w:pPr>
        <w:jc w:val="both"/>
        <w:ind w:firstLine="309"/>
        <w:spacing w:after="0" w:line="261" w:lineRule="auto"/>
        <w:rPr>
          <w:sz w:val="20"/>
          <w:szCs w:val="20"/>
          <w:color w:val="auto"/>
        </w:rPr>
      </w:pPr>
      <w:r>
        <w:rPr>
          <w:rFonts w:ascii="Times New Roman" w:cs="Times New Roman" w:eastAsia="Times New Roman" w:hAnsi="Times New Roman"/>
          <w:sz w:val="15"/>
          <w:szCs w:val="15"/>
          <w:color w:val="auto"/>
        </w:rPr>
        <w:t>Over the past several years, various laws and regulations lengthened the enrollment period, expanded income eligibility, and reduced premium caps for subsidies for individuals purchasing Affordable Care Act coverage through state and federal marketplaces. However, several of these provisions – notably, those relating to premium caps for subsidies – expired on December 31, 2025. The failure of Congress to renew these subsidies through legislative action is widely anticipated to result in significant increases in premiums, potentially leading to decreased enrollment and a corresponding rise in the number of uninsured individuals or a shift of individuals from commercial coverage to government program coverage in 2026. As a direct effect of these changes, the Company may experience decreased patient volumes, reduced revenues and an increase in uncompensated care, which would adversely affect the Company’s results of operations and cash flows. We cannot predict whether or how the Congress may further extend (or decline to extend) or modify provisions of or relating to the Affordable Care Act or other laws affecting the healthcare industry generally, nor can we predict how the current administration will influence, promulgate or implement rules, regulations or executive orders that affect the healthcare industry directly or indirectly (including, for example, through changes resulting from the provisions of the OBBBA). We may also experience potential impacts on our business, in ways we cannot anticipate, from healthcare-related policy changes at the state level. Some federal and state changes, initiatives and requirements could, among other things, negatively impact our patient volumes, case mix and revenue mix, increase our operating costs, adversely affect the reimbursement we receive for our services, impact our competitive position or require us to expend resources to modify certain aspects of our operations, any of which could have an adverse effect on our financial condition, results of operations or cash flows. Furthermore, we cannot predict the impact healthcare policy risks and uncertainties may have on the trading price of our common stock.</w:t>
      </w:r>
    </w:p>
    <w:p>
      <w:pPr>
        <w:spacing w:after="0" w:line="259" w:lineRule="exact"/>
        <w:rPr>
          <w:sz w:val="20"/>
          <w:szCs w:val="20"/>
          <w:color w:val="auto"/>
        </w:rPr>
      </w:pPr>
    </w:p>
    <w:p>
      <w:pPr>
        <w:jc w:val="both"/>
        <w:spacing w:after="0" w:line="312" w:lineRule="auto"/>
        <w:rPr>
          <w:sz w:val="20"/>
          <w:szCs w:val="20"/>
          <w:color w:val="auto"/>
        </w:rPr>
      </w:pPr>
      <w:r>
        <w:rPr>
          <w:rFonts w:ascii="Times New Roman" w:cs="Times New Roman" w:eastAsia="Times New Roman" w:hAnsi="Times New Roman"/>
          <w:sz w:val="15"/>
          <w:szCs w:val="15"/>
          <w:b w:val="1"/>
          <w:bCs w:val="1"/>
          <w:color w:val="auto"/>
        </w:rPr>
        <w:t>If we fail to comply with or otherwise incur liabilities under the numerous federal and state laws and regulations relating to the operation of our facilities, we could incur significant penalties or other costs or be required to make significant changes to our operations.</w:t>
      </w:r>
    </w:p>
    <w:p>
      <w:pPr>
        <w:spacing w:after="0" w:line="33" w:lineRule="exact"/>
        <w:rPr>
          <w:sz w:val="20"/>
          <w:szCs w:val="20"/>
          <w:color w:val="auto"/>
        </w:rPr>
      </w:pPr>
    </w:p>
    <w:p>
      <w:pPr>
        <w:jc w:val="both"/>
        <w:ind w:firstLine="309"/>
        <w:spacing w:after="0" w:line="289" w:lineRule="auto"/>
        <w:rPr>
          <w:sz w:val="20"/>
          <w:szCs w:val="20"/>
          <w:color w:val="auto"/>
        </w:rPr>
      </w:pPr>
      <w:r>
        <w:rPr>
          <w:rFonts w:ascii="Times New Roman" w:cs="Times New Roman" w:eastAsia="Times New Roman" w:hAnsi="Times New Roman"/>
          <w:sz w:val="15"/>
          <w:szCs w:val="15"/>
          <w:color w:val="auto"/>
        </w:rPr>
        <w:t>The health care industry is heavily regulated and we are subject to many laws and regulations at the federal, state and local government levels in the markets in which we operate. These laws and regulations require that our facilities meet various licensing, certification and other requirements, including, but not limited to, those relating to:</w:t>
      </w:r>
    </w:p>
    <w:p>
      <w:pPr>
        <w:spacing w:after="0" w:line="62" w:lineRule="exact"/>
        <w:rPr>
          <w:sz w:val="20"/>
          <w:szCs w:val="20"/>
          <w:color w:val="auto"/>
        </w:rPr>
      </w:pPr>
    </w:p>
    <w:p>
      <w:pPr>
        <w:ind w:left="620" w:hanging="307"/>
        <w:spacing w:after="0"/>
        <w:tabs>
          <w:tab w:leader="none" w:pos="62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ownership and control of our facilities;</w:t>
      </w:r>
    </w:p>
    <w:p>
      <w:pPr>
        <w:spacing w:after="0" w:line="111" w:lineRule="exact"/>
        <w:rPr>
          <w:rFonts w:ascii="Times New Roman" w:cs="Times New Roman" w:eastAsia="Times New Roman" w:hAnsi="Times New Roman"/>
          <w:sz w:val="15"/>
          <w:szCs w:val="15"/>
          <w:color w:val="auto"/>
        </w:rPr>
      </w:pPr>
    </w:p>
    <w:p>
      <w:pPr>
        <w:ind w:left="620" w:hanging="307"/>
        <w:spacing w:after="0"/>
        <w:tabs>
          <w:tab w:leader="none" w:pos="62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operating policies and procedures;</w:t>
      </w:r>
    </w:p>
    <w:p>
      <w:pPr>
        <w:spacing w:after="0" w:line="111" w:lineRule="exact"/>
        <w:rPr>
          <w:rFonts w:ascii="Times New Roman" w:cs="Times New Roman" w:eastAsia="Times New Roman" w:hAnsi="Times New Roman"/>
          <w:sz w:val="15"/>
          <w:szCs w:val="15"/>
          <w:color w:val="auto"/>
        </w:rPr>
      </w:pPr>
    </w:p>
    <w:p>
      <w:pPr>
        <w:ind w:left="620" w:hanging="307"/>
        <w:spacing w:after="0"/>
        <w:tabs>
          <w:tab w:leader="none" w:pos="62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qualification, training and supervision of medical and support persons;</w:t>
      </w:r>
    </w:p>
    <w:p>
      <w:pPr>
        <w:spacing w:after="0" w:line="124" w:lineRule="exact"/>
        <w:rPr>
          <w:rFonts w:ascii="Times New Roman" w:cs="Times New Roman" w:eastAsia="Times New Roman" w:hAnsi="Times New Roman"/>
          <w:sz w:val="15"/>
          <w:szCs w:val="15"/>
          <w:color w:val="auto"/>
        </w:rPr>
      </w:pPr>
    </w:p>
    <w:p>
      <w:pPr>
        <w:ind w:left="620" w:hanging="307"/>
        <w:spacing w:after="0"/>
        <w:tabs>
          <w:tab w:leader="none" w:pos="62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pricing of, billing for and coding of services and properly handling overpayments, debt collection practices and the submission of false statements or claims;</w:t>
      </w:r>
    </w:p>
    <w:p>
      <w:pPr>
        <w:spacing w:after="0" w:line="111" w:lineRule="exact"/>
        <w:rPr>
          <w:rFonts w:ascii="Times New Roman" w:cs="Times New Roman" w:eastAsia="Times New Roman" w:hAnsi="Times New Roman"/>
          <w:sz w:val="15"/>
          <w:szCs w:val="15"/>
          <w:color w:val="auto"/>
        </w:rPr>
      </w:pPr>
    </w:p>
    <w:p>
      <w:pPr>
        <w:ind w:left="620" w:hanging="307"/>
        <w:spacing w:after="0"/>
        <w:tabs>
          <w:tab w:leader="none" w:pos="62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necessity, appropriateness and adequacy of medical care, equipment, personnel, operating policies and procedures; maintenance and preservation of medical records;</w:t>
      </w:r>
    </w:p>
    <w:p>
      <w:pPr>
        <w:spacing w:after="0" w:line="124" w:lineRule="exact"/>
        <w:rPr>
          <w:rFonts w:ascii="Times New Roman" w:cs="Times New Roman" w:eastAsia="Times New Roman" w:hAnsi="Times New Roman"/>
          <w:sz w:val="15"/>
          <w:szCs w:val="15"/>
          <w:color w:val="auto"/>
        </w:rPr>
      </w:pPr>
    </w:p>
    <w:p>
      <w:pPr>
        <w:ind w:left="620" w:hanging="307"/>
        <w:spacing w:after="0"/>
        <w:tabs>
          <w:tab w:leader="none" w:pos="62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financial arrangements between referral sources and our facilities;</w:t>
      </w:r>
    </w:p>
    <w:p>
      <w:pPr>
        <w:spacing w:after="0" w:line="111" w:lineRule="exact"/>
        <w:rPr>
          <w:rFonts w:ascii="Times New Roman" w:cs="Times New Roman" w:eastAsia="Times New Roman" w:hAnsi="Times New Roman"/>
          <w:sz w:val="15"/>
          <w:szCs w:val="15"/>
          <w:color w:val="auto"/>
        </w:rPr>
      </w:pPr>
    </w:p>
    <w:p>
      <w:pPr>
        <w:ind w:left="620" w:hanging="307"/>
        <w:spacing w:after="0"/>
        <w:tabs>
          <w:tab w:leader="none" w:pos="62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protection of privacy, including patient and credit card information;</w:t>
      </w:r>
    </w:p>
    <w:p>
      <w:pPr>
        <w:spacing w:after="0" w:line="111" w:lineRule="exact"/>
        <w:rPr>
          <w:rFonts w:ascii="Times New Roman" w:cs="Times New Roman" w:eastAsia="Times New Roman" w:hAnsi="Times New Roman"/>
          <w:sz w:val="15"/>
          <w:szCs w:val="15"/>
          <w:color w:val="auto"/>
        </w:rPr>
      </w:pPr>
    </w:p>
    <w:p>
      <w:pPr>
        <w:ind w:left="620" w:hanging="307"/>
        <w:spacing w:after="0"/>
        <w:tabs>
          <w:tab w:leader="none" w:pos="62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screening, stabilization and transfer of individuals who have emergency medical conditions and provision of emergency services;</w:t>
      </w:r>
    </w:p>
    <w:p>
      <w:pPr>
        <w:spacing w:after="0" w:line="124" w:lineRule="exact"/>
        <w:rPr>
          <w:rFonts w:ascii="Times New Roman" w:cs="Times New Roman" w:eastAsia="Times New Roman" w:hAnsi="Times New Roman"/>
          <w:sz w:val="15"/>
          <w:szCs w:val="15"/>
          <w:color w:val="auto"/>
        </w:rPr>
      </w:pPr>
    </w:p>
    <w:p>
      <w:pPr>
        <w:ind w:left="620" w:hanging="307"/>
        <w:spacing w:after="0"/>
        <w:tabs>
          <w:tab w:leader="none" w:pos="62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antitrust;</w:t>
      </w:r>
    </w:p>
    <w:p>
      <w:pPr>
        <w:spacing w:after="0" w:line="111" w:lineRule="exact"/>
        <w:rPr>
          <w:rFonts w:ascii="Times New Roman" w:cs="Times New Roman" w:eastAsia="Times New Roman" w:hAnsi="Times New Roman"/>
          <w:sz w:val="15"/>
          <w:szCs w:val="15"/>
          <w:color w:val="auto"/>
        </w:rPr>
      </w:pPr>
    </w:p>
    <w:p>
      <w:pPr>
        <w:ind w:left="620" w:hanging="307"/>
        <w:spacing w:after="0"/>
        <w:tabs>
          <w:tab w:leader="none" w:pos="62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building codes;</w:t>
      </w:r>
    </w:p>
    <w:p>
      <w:pPr>
        <w:spacing w:after="0" w:line="124" w:lineRule="exact"/>
        <w:rPr>
          <w:rFonts w:ascii="Times New Roman" w:cs="Times New Roman" w:eastAsia="Times New Roman" w:hAnsi="Times New Roman"/>
          <w:sz w:val="15"/>
          <w:szCs w:val="15"/>
          <w:color w:val="auto"/>
        </w:rPr>
      </w:pPr>
    </w:p>
    <w:p>
      <w:pPr>
        <w:ind w:left="620" w:hanging="307"/>
        <w:spacing w:after="0"/>
        <w:tabs>
          <w:tab w:leader="none" w:pos="62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workplace health and safety;</w:t>
      </w:r>
    </w:p>
    <w:p>
      <w:pPr>
        <w:spacing w:after="0" w:line="111" w:lineRule="exact"/>
        <w:rPr>
          <w:rFonts w:ascii="Times New Roman" w:cs="Times New Roman" w:eastAsia="Times New Roman" w:hAnsi="Times New Roman"/>
          <w:sz w:val="15"/>
          <w:szCs w:val="15"/>
          <w:color w:val="auto"/>
        </w:rPr>
      </w:pPr>
    </w:p>
    <w:p>
      <w:pPr>
        <w:ind w:left="620" w:hanging="307"/>
        <w:spacing w:after="0"/>
        <w:tabs>
          <w:tab w:leader="none" w:pos="62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licensure and certification handling of medication;</w:t>
      </w:r>
    </w:p>
    <w:p>
      <w:pPr>
        <w:spacing w:after="0" w:line="111" w:lineRule="exact"/>
        <w:rPr>
          <w:rFonts w:ascii="Times New Roman" w:cs="Times New Roman" w:eastAsia="Times New Roman" w:hAnsi="Times New Roman"/>
          <w:sz w:val="15"/>
          <w:szCs w:val="15"/>
          <w:color w:val="auto"/>
        </w:rPr>
      </w:pPr>
    </w:p>
    <w:p>
      <w:pPr>
        <w:ind w:left="620" w:hanging="307"/>
        <w:spacing w:after="0"/>
        <w:tabs>
          <w:tab w:leader="none" w:pos="62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confidentiality, data breach, identity theft and maintenance and protection of health-related and other personal information and medical records; and</w:t>
      </w:r>
    </w:p>
    <w:p>
      <w:pPr>
        <w:spacing w:after="0" w:line="124" w:lineRule="exact"/>
        <w:rPr>
          <w:rFonts w:ascii="Times New Roman" w:cs="Times New Roman" w:eastAsia="Times New Roman" w:hAnsi="Times New Roman"/>
          <w:sz w:val="15"/>
          <w:szCs w:val="15"/>
          <w:color w:val="auto"/>
        </w:rPr>
      </w:pPr>
    </w:p>
    <w:p>
      <w:pPr>
        <w:ind w:left="620" w:hanging="307"/>
        <w:spacing w:after="0"/>
        <w:tabs>
          <w:tab w:leader="none" w:pos="62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environmental protection, health and safety.</w:t>
      </w:r>
    </w:p>
    <w:p>
      <w:pPr>
        <w:spacing w:after="0" w:line="111" w:lineRule="exact"/>
        <w:rPr>
          <w:sz w:val="20"/>
          <w:szCs w:val="20"/>
          <w:color w:val="auto"/>
        </w:rPr>
      </w:pPr>
    </w:p>
    <w:p>
      <w:pPr>
        <w:jc w:val="both"/>
        <w:ind w:firstLine="309"/>
        <w:spacing w:after="0" w:line="279" w:lineRule="auto"/>
        <w:rPr>
          <w:sz w:val="20"/>
          <w:szCs w:val="20"/>
          <w:color w:val="auto"/>
        </w:rPr>
      </w:pPr>
      <w:r>
        <w:rPr>
          <w:rFonts w:ascii="Times New Roman" w:cs="Times New Roman" w:eastAsia="Times New Roman" w:hAnsi="Times New Roman"/>
          <w:sz w:val="15"/>
          <w:szCs w:val="15"/>
          <w:color w:val="auto"/>
        </w:rPr>
        <w:t>If we fail to comply with applicable laws and regulations, we could subject ourselves to administrative, civil or criminal penalties, cease and desist orders, forfeiture of amounts owed and recoupment of amounts paid to us by governmental or commercial payors, loss of licenses necessary to operate and disqualification from Medicare, Medicaid and other government-sponsored health care programs.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2"/>
          <w:szCs w:val="12"/>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ind w:firstLine="309"/>
        <w:spacing w:after="0" w:line="271" w:lineRule="auto"/>
        <w:rPr>
          <w:sz w:val="20"/>
          <w:szCs w:val="20"/>
          <w:color w:val="auto"/>
        </w:rPr>
      </w:pPr>
      <w:r>
        <w:rPr>
          <w:rFonts w:ascii="Times New Roman" w:cs="Times New Roman" w:eastAsia="Times New Roman" w:hAnsi="Times New Roman"/>
          <w:sz w:val="15"/>
          <w:szCs w:val="15"/>
          <w:color w:val="auto"/>
        </w:rPr>
        <w:t>Many of these laws and regulations have not been fully interpreted by regulatory authorities or the courts, and their provisions are sometimes open to a variety of interpretations. Different interpretations or enforcement of existing or new laws and regulations could subject our current practices to allegations of impropriety or illegality, or require us to make changes in our operations, facilities, equipment, personnel, services, capital expenditure programs or operating expenses to comply with the evolving rules. Any enforcement action against us, even if we successfully defend against it, could cause us to incur significant legal expenses and divert our management’s attention from the operation of our business.</w:t>
      </w:r>
    </w:p>
    <w:p>
      <w:pPr>
        <w:spacing w:after="0" w:line="252" w:lineRule="exact"/>
        <w:rPr>
          <w:sz w:val="20"/>
          <w:szCs w:val="20"/>
          <w:color w:val="auto"/>
        </w:rPr>
      </w:pPr>
    </w:p>
    <w:p>
      <w:pPr>
        <w:jc w:val="both"/>
        <w:ind w:firstLine="309"/>
        <w:spacing w:after="0" w:line="265" w:lineRule="auto"/>
        <w:rPr>
          <w:sz w:val="20"/>
          <w:szCs w:val="20"/>
          <w:color w:val="auto"/>
        </w:rPr>
      </w:pPr>
      <w:r>
        <w:rPr>
          <w:rFonts w:ascii="Times New Roman" w:cs="Times New Roman" w:eastAsia="Times New Roman" w:hAnsi="Times New Roman"/>
          <w:sz w:val="15"/>
          <w:szCs w:val="15"/>
          <w:color w:val="auto"/>
        </w:rPr>
        <w:t>A number of initiatives have been proposed during the past several years to reform various aspects of the health care system in the U.S. In the future, different interpretations or enforcement of existing or new laws and regulations could subject our current practices to allegations of impropriety or illegality, or could require us to make changes in our facilities, equipment, personnel, services, capital expenditure programs and operating expenses. In addition, some of the governmental and regulatory bodies that regulate us are considering or may in the future consider enhanced or new regulatory requirements. These authorities may also seek to exercise their supervisory or enforcement authority in new or more robust ways. All of these possibilities, if they occurred, could detrimentally affect the way we conduct our business and manage our capital, either of which, in turn, could have a material adverse effect on our business, prospects, results of operations and financial condition.</w:t>
      </w:r>
    </w:p>
    <w:p>
      <w:pPr>
        <w:spacing w:after="0" w:line="65" w:lineRule="exact"/>
        <w:rPr>
          <w:sz w:val="20"/>
          <w:szCs w:val="20"/>
          <w:color w:val="auto"/>
        </w:rPr>
      </w:pPr>
    </w:p>
    <w:p>
      <w:pPr>
        <w:jc w:val="both"/>
        <w:spacing w:after="0" w:line="312" w:lineRule="auto"/>
        <w:rPr>
          <w:sz w:val="20"/>
          <w:szCs w:val="20"/>
          <w:color w:val="auto"/>
        </w:rPr>
      </w:pPr>
      <w:r>
        <w:rPr>
          <w:rFonts w:ascii="Times New Roman" w:cs="Times New Roman" w:eastAsia="Times New Roman" w:hAnsi="Times New Roman"/>
          <w:sz w:val="15"/>
          <w:szCs w:val="15"/>
          <w:b w:val="1"/>
          <w:bCs w:val="1"/>
          <w:color w:val="auto"/>
        </w:rPr>
        <w:t>If regulations change, we may be obligated to purchase some or all of the ownership of our physician partners or renegotiate some of our partnership and operating agreements with our physician partners and management agreements with surgical facilities.</w:t>
      </w:r>
    </w:p>
    <w:p>
      <w:pPr>
        <w:spacing w:after="0" w:line="33" w:lineRule="exact"/>
        <w:rPr>
          <w:sz w:val="20"/>
          <w:szCs w:val="20"/>
          <w:color w:val="auto"/>
        </w:rPr>
      </w:pPr>
    </w:p>
    <w:p>
      <w:pPr>
        <w:jc w:val="both"/>
        <w:ind w:firstLine="309"/>
        <w:spacing w:after="0" w:line="266" w:lineRule="auto"/>
        <w:rPr>
          <w:sz w:val="20"/>
          <w:szCs w:val="20"/>
          <w:color w:val="auto"/>
        </w:rPr>
      </w:pPr>
      <w:r>
        <w:rPr>
          <w:rFonts w:ascii="Times New Roman" w:cs="Times New Roman" w:eastAsia="Times New Roman" w:hAnsi="Times New Roman"/>
          <w:sz w:val="15"/>
          <w:szCs w:val="15"/>
          <w:color w:val="auto"/>
        </w:rPr>
        <w:t>Upon the occurrence of various fundamental regulatory changes or changes in the interpretation of existing regulations, we may be obligated to purchase all of the ownership of the physician investors in most of the partnerships or limited liability companies that own and operate our surgical facilities and/or hospitals. The physician investors in some of our surgical facilities and hospitals can require us to purchase their interests in exchange for cash or shares of our common stock if these regulatory changes occur. In addition, some of our partnership agreements with our physician partners and management agreements with surgical facilities and hospitals require us to attempt to renegotiate the agreements upon the occurrence of various fundamental regulatory changes or changes in the interpretation of existing regulations and provide for termination of the agreements if renegotiations are not successful.</w:t>
      </w:r>
    </w:p>
    <w:p>
      <w:pPr>
        <w:spacing w:after="0" w:line="256" w:lineRule="exact"/>
        <w:rPr>
          <w:sz w:val="20"/>
          <w:szCs w:val="20"/>
          <w:color w:val="auto"/>
        </w:rPr>
      </w:pPr>
    </w:p>
    <w:p>
      <w:pPr>
        <w:jc w:val="both"/>
        <w:ind w:firstLine="309"/>
        <w:spacing w:after="0" w:line="279" w:lineRule="auto"/>
        <w:rPr>
          <w:sz w:val="20"/>
          <w:szCs w:val="20"/>
          <w:color w:val="auto"/>
        </w:rPr>
      </w:pPr>
      <w:r>
        <w:rPr>
          <w:rFonts w:ascii="Times New Roman" w:cs="Times New Roman" w:eastAsia="Times New Roman" w:hAnsi="Times New Roman"/>
          <w:sz w:val="15"/>
          <w:szCs w:val="15"/>
          <w:color w:val="auto"/>
        </w:rPr>
        <w:t>We do not control whether or when regulatory events might occur. In the event we are required to purchase all of the physicians’ ownership, our existing capital resources would not be sufficient for us to meet this obligation. These obligations and the possible termination of our partnership and management agreements would have a material adverse effect on our financial condition and results of operations.</w:t>
      </w:r>
    </w:p>
    <w:p>
      <w:pPr>
        <w:spacing w:after="0" w:line="65"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5"/>
          <w:szCs w:val="15"/>
          <w:b w:val="1"/>
          <w:bCs w:val="1"/>
          <w:color w:val="auto"/>
        </w:rPr>
        <w:t>Our surgical facilities do not satisfy the requirements for any of the safe harbors under the federal Anti-Kickback Statute. If a federal or state agency asserts a different position or enacts new laws in this regard, we could be subject to criminal and civil penalties, loss of licenses and exclusion from governmental programs, which may result in a substantial loss of revenue.</w:t>
      </w:r>
    </w:p>
    <w:p>
      <w:pPr>
        <w:spacing w:after="0" w:line="75" w:lineRule="exact"/>
        <w:rPr>
          <w:sz w:val="20"/>
          <w:szCs w:val="20"/>
          <w:color w:val="auto"/>
        </w:rPr>
      </w:pPr>
    </w:p>
    <w:p>
      <w:pPr>
        <w:jc w:val="both"/>
        <w:ind w:firstLine="309"/>
        <w:spacing w:after="0" w:line="265" w:lineRule="auto"/>
        <w:rPr>
          <w:sz w:val="20"/>
          <w:szCs w:val="20"/>
          <w:color w:val="auto"/>
        </w:rPr>
      </w:pPr>
      <w:r>
        <w:rPr>
          <w:rFonts w:ascii="Times New Roman" w:cs="Times New Roman" w:eastAsia="Times New Roman" w:hAnsi="Times New Roman"/>
          <w:sz w:val="15"/>
          <w:szCs w:val="15"/>
          <w:color w:val="auto"/>
        </w:rPr>
        <w:t>The Anti-Kickback Statute prohibits the offer, payment, solicitation or receipt of any form of remuneration in return for referrals for items or services payable by Medicare, Medicaid, or any other federally funded health care program. Our exclusion from participation in all federally funded health care programs as a result of a violation of the Anti-Kickback Statute would have a material adverse effect on our business, prospects, results of operations and financial condition. In addition, many of the states in which we operate have also adopted laws, similar to the Anti-Kickback Statute, that prohibit payments to physicians in exchange for referrals, some of which apply regardless of the source of payment for care. These state laws typically impose criminal and civil penalties, including the loss of a license to do business in the state.</w:t>
      </w:r>
    </w:p>
    <w:p>
      <w:pPr>
        <w:spacing w:after="0" w:line="79" w:lineRule="exact"/>
        <w:rPr>
          <w:sz w:val="20"/>
          <w:szCs w:val="20"/>
          <w:color w:val="auto"/>
        </w:rPr>
      </w:pPr>
    </w:p>
    <w:p>
      <w:pPr>
        <w:jc w:val="both"/>
        <w:ind w:firstLine="309"/>
        <w:spacing w:after="0" w:line="265" w:lineRule="auto"/>
        <w:rPr>
          <w:sz w:val="20"/>
          <w:szCs w:val="20"/>
          <w:color w:val="auto"/>
        </w:rPr>
      </w:pPr>
      <w:r>
        <w:rPr>
          <w:rFonts w:ascii="Times New Roman" w:cs="Times New Roman" w:eastAsia="Times New Roman" w:hAnsi="Times New Roman"/>
          <w:sz w:val="15"/>
          <w:szCs w:val="15"/>
          <w:color w:val="auto"/>
        </w:rPr>
        <w:t>The "Investment Interest" safe harbor and the "Personal Services and Management Contracts" safe harbor apply to business arrangements similar to those used in connection with our surgical facilities. However, the structure of the partnerships and limited liability companies operating our surgery centers and surgical hospitals, as well as our various business arrangements involving physician group practices, do not satisfy all of the requirements of either safe harbor. We have entered into management agreements to manage the majority of our surgical facilities. Most of these agreements call for our subsidiary to be paid a percentage-based management fee. Because our management fees are generally based on a percentage of revenue, our management agreements do not typically meet the Personal Services and Management Contracts safe harbor. We cannot assure you that the OIG would find our compliance programs to be adequate or that our management agreements would be found to comply with the Anti-Kickback Statute.</w:t>
      </w:r>
    </w:p>
    <w:p>
      <w:pPr>
        <w:spacing w:after="0" w:line="69" w:lineRule="exact"/>
        <w:rPr>
          <w:sz w:val="20"/>
          <w:szCs w:val="20"/>
          <w:color w:val="auto"/>
        </w:rPr>
      </w:pPr>
    </w:p>
    <w:p>
      <w:pPr>
        <w:jc w:val="both"/>
        <w:ind w:firstLine="309"/>
        <w:spacing w:after="0" w:line="265" w:lineRule="auto"/>
        <w:rPr>
          <w:sz w:val="20"/>
          <w:szCs w:val="20"/>
          <w:color w:val="auto"/>
        </w:rPr>
      </w:pPr>
      <w:r>
        <w:rPr>
          <w:rFonts w:ascii="Times New Roman" w:cs="Times New Roman" w:eastAsia="Times New Roman" w:hAnsi="Times New Roman"/>
          <w:sz w:val="15"/>
          <w:szCs w:val="15"/>
          <w:color w:val="auto"/>
        </w:rPr>
        <w:t>The surgery center safe harbor protects four types of investment arrangements: surgeon owned surgery centers; single specialty surgery centers; multi-specialty surgery centers; and hospital/physician surgery centers. In addition to the physician investor, the categories permit an "unrelated" investor, who is a person or entity that is not in a position to provide items or services related to the surgery center or its investors. Our business arrangements with our surgical facilities typically consist of one of our subsidiaries being an investor in each partnership or limited liability company that owns the facility, in addition to providing management and other services to the facility. Therefore, our business arrangements with our surgery centers, surgical hospitals and physician groups do not qualify for the expanded safe harbor protection from government review or prosecution under the Anti-Kickback Statute. Nevertheless, we believe that we are in compliance with the requirements of the Anti-Kickback Statute.</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2"/>
          <w:szCs w:val="12"/>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5"/>
          <w:szCs w:val="15"/>
          <w:b w:val="1"/>
          <w:bCs w:val="1"/>
          <w:color w:val="auto"/>
        </w:rPr>
        <w:t>If we fail to comply with physician self-referral laws as they are currently interpreted or may be interpreted in the future, or if other legislative restrictions are issued, we could incur substantial monetary penalties and a significant loss of revenue.</w:t>
      </w:r>
    </w:p>
    <w:p>
      <w:pPr>
        <w:spacing w:after="0" w:line="58" w:lineRule="exact"/>
        <w:rPr>
          <w:sz w:val="20"/>
          <w:szCs w:val="20"/>
          <w:color w:val="auto"/>
        </w:rPr>
      </w:pPr>
    </w:p>
    <w:p>
      <w:pPr>
        <w:jc w:val="both"/>
        <w:ind w:firstLine="309"/>
        <w:spacing w:after="0" w:line="273" w:lineRule="auto"/>
        <w:rPr>
          <w:sz w:val="20"/>
          <w:szCs w:val="20"/>
          <w:color w:val="auto"/>
        </w:rPr>
      </w:pPr>
      <w:r>
        <w:rPr>
          <w:rFonts w:ascii="Times New Roman" w:cs="Times New Roman" w:eastAsia="Times New Roman" w:hAnsi="Times New Roman"/>
          <w:sz w:val="15"/>
          <w:szCs w:val="15"/>
          <w:color w:val="auto"/>
        </w:rPr>
        <w:t>We attempt to structure our relationship with physicians who refer to our surgical hospitals to meet an exception to the Stark Law where required, but the regulations implementing the exceptions are detailed and complex, and we cannot guarantee that every relationship complies fully with the Stark Law. We also believe that certain services provided by our managed physician network are covered by the Stark Law, but referrals for those services are exempt from the Stark Law under its "in-office ancillary services exception," among others.</w:t>
      </w:r>
    </w:p>
    <w:p>
      <w:pPr>
        <w:spacing w:after="0" w:line="249" w:lineRule="exact"/>
        <w:rPr>
          <w:sz w:val="20"/>
          <w:szCs w:val="20"/>
          <w:color w:val="auto"/>
        </w:rPr>
      </w:pPr>
    </w:p>
    <w:p>
      <w:pPr>
        <w:jc w:val="both"/>
        <w:ind w:firstLine="309"/>
        <w:spacing w:after="0" w:line="266" w:lineRule="auto"/>
        <w:rPr>
          <w:sz w:val="20"/>
          <w:szCs w:val="20"/>
          <w:color w:val="auto"/>
        </w:rPr>
      </w:pPr>
      <w:r>
        <w:rPr>
          <w:rFonts w:ascii="Times New Roman" w:cs="Times New Roman" w:eastAsia="Times New Roman" w:hAnsi="Times New Roman"/>
          <w:sz w:val="15"/>
          <w:szCs w:val="15"/>
          <w:color w:val="auto"/>
        </w:rPr>
        <w:t>Violations of these self-referral laws may result in substantial civil or criminal penalties, including treble damages for amounts improperly claimed, civil monetary penalties of up to $15,000 per prohibited service billed, up to $100,000 per prohibited circumvention scheme and exclusion from participation in the Medicare and Medicaid and other federal and state health care programs. Violations of the Stark Law will also create liability under the federal False Claims Act. Exclusion of our ASCs or surgical hospitals from these programs through judicial or agency interpretation of existing laws or additional legislative restrictions on physician ownership or investments in health care entities could result in a significant loss of reimbursement revenue. We cannot provide assurances that CMS will not undertake other rulemaking to address additional revisions to or interpretations of the Stark Law regulations. If future rules modify the provisions of the Stark Law regulations that are applicable to our business, our revenue and profitability could be materially adversely affected and could require us to modify our relationships with our physician and health care system partners.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Federal law restricts the ability of our surgical hospitals to expand capacity.</w:t>
      </w:r>
    </w:p>
    <w:p>
      <w:pPr>
        <w:spacing w:after="0" w:line="115" w:lineRule="exact"/>
        <w:rPr>
          <w:sz w:val="20"/>
          <w:szCs w:val="20"/>
          <w:color w:val="auto"/>
        </w:rPr>
      </w:pPr>
    </w:p>
    <w:p>
      <w:pPr>
        <w:jc w:val="both"/>
        <w:ind w:firstLine="309"/>
        <w:spacing w:after="0" w:line="269" w:lineRule="auto"/>
        <w:rPr>
          <w:sz w:val="20"/>
          <w:szCs w:val="20"/>
          <w:color w:val="auto"/>
        </w:rPr>
      </w:pPr>
      <w:r>
        <w:rPr>
          <w:rFonts w:ascii="Times New Roman" w:cs="Times New Roman" w:eastAsia="Times New Roman" w:hAnsi="Times New Roman"/>
          <w:sz w:val="15"/>
          <w:szCs w:val="15"/>
          <w:color w:val="auto"/>
        </w:rPr>
        <w:t>The Affordable Care Act dramatically curtailed the Whole Hospital Exception and prohibits physician ownership in hospitals that did not have a Medicare provider agreement by December 31, 2010. As a result, the law effectively prevents the formation of new physician-owned hospitals that participate in Medicare and Medicaid after December 31, 2010. Each of our surgical hospitals had a Medicare provider agreement in place prior to December 31, 2010 and is therefore able to continue operating with the ownership structure that was in place prior to December 30, 2010. However, the Affordable Care Act prohibits "grandfathered" hospitals from increasing their percentage of physician ownership, and it limits to a certain extent their ability to grow, because it prohibits such hospitals from increasing the aggregate number of inpatient beds, operating rooms and procedure rooms.</w:t>
      </w:r>
    </w:p>
    <w:p>
      <w:pPr>
        <w:spacing w:after="0" w:line="61" w:lineRule="exact"/>
        <w:rPr>
          <w:sz w:val="20"/>
          <w:szCs w:val="20"/>
          <w:color w:val="auto"/>
        </w:rPr>
      </w:pPr>
    </w:p>
    <w:p>
      <w:pPr>
        <w:jc w:val="both"/>
        <w:spacing w:after="0" w:line="312" w:lineRule="auto"/>
        <w:rPr>
          <w:sz w:val="20"/>
          <w:szCs w:val="20"/>
          <w:color w:val="auto"/>
        </w:rPr>
      </w:pPr>
      <w:r>
        <w:rPr>
          <w:rFonts w:ascii="Times New Roman" w:cs="Times New Roman" w:eastAsia="Times New Roman" w:hAnsi="Times New Roman"/>
          <w:sz w:val="15"/>
          <w:szCs w:val="15"/>
          <w:b w:val="1"/>
          <w:bCs w:val="1"/>
          <w:color w:val="auto"/>
        </w:rPr>
        <w:t>Companies within the health care industry, including us, continue to be the subject of federal and state audits and investigations, including actions for false and other improper claims.</w:t>
      </w:r>
    </w:p>
    <w:p>
      <w:pPr>
        <w:spacing w:after="0" w:line="33" w:lineRule="exact"/>
        <w:rPr>
          <w:sz w:val="20"/>
          <w:szCs w:val="20"/>
          <w:color w:val="auto"/>
        </w:rPr>
      </w:pPr>
    </w:p>
    <w:p>
      <w:pPr>
        <w:jc w:val="both"/>
        <w:ind w:firstLine="309"/>
        <w:spacing w:after="0" w:line="269" w:lineRule="auto"/>
        <w:rPr>
          <w:sz w:val="20"/>
          <w:szCs w:val="20"/>
          <w:color w:val="auto"/>
        </w:rPr>
      </w:pPr>
      <w:r>
        <w:rPr>
          <w:rFonts w:ascii="Times New Roman" w:cs="Times New Roman" w:eastAsia="Times New Roman" w:hAnsi="Times New Roman"/>
          <w:sz w:val="15"/>
          <w:szCs w:val="15"/>
          <w:color w:val="auto"/>
        </w:rPr>
        <w:t>Federal and state government agencies, as well as commercial payors, have increased their auditing and administrative, civil and criminal enforcement efforts as part of numerous ongoing investigations of health care organizations. These audits and investigations relate to a wide variety of topics, including the following: cost reporting and billing practices; quality of care; financial reporting; financial relationships with referral sources; and medical necessity of services provided. In addition, the OIG and the DOJ have, from time to time, undertaken national enforcement initiatives that focus on specific billing practices or other suspected areas of abuse.</w:t>
      </w:r>
    </w:p>
    <w:p>
      <w:pPr>
        <w:spacing w:after="0" w:line="78" w:lineRule="exact"/>
        <w:rPr>
          <w:sz w:val="20"/>
          <w:szCs w:val="20"/>
          <w:color w:val="auto"/>
        </w:rPr>
      </w:pPr>
    </w:p>
    <w:p>
      <w:pPr>
        <w:jc w:val="both"/>
        <w:ind w:firstLine="309"/>
        <w:spacing w:after="0" w:line="262" w:lineRule="auto"/>
        <w:rPr>
          <w:sz w:val="20"/>
          <w:szCs w:val="20"/>
          <w:color w:val="auto"/>
        </w:rPr>
      </w:pPr>
      <w:r>
        <w:rPr>
          <w:rFonts w:ascii="Times New Roman" w:cs="Times New Roman" w:eastAsia="Times New Roman" w:hAnsi="Times New Roman"/>
          <w:sz w:val="15"/>
          <w:szCs w:val="15"/>
          <w:color w:val="auto"/>
        </w:rPr>
        <w:t>The federal government may impose criminal, civil and administrative penalties on any person or entity that files a false claim for payment from the Medicare or Medicaid programs and other federal and state health care programs. Claims filed with private insurers can also lead to criminal and civil penalties, including, but not limited to, penalties relating to violations of federal mail and wire fraud statutes, as well as penalties under the anti-fraud provisions of HIPAA. In addition, a violation of the Stark Law or the Anti-Kickback Statute can result in liability under the federal False Claims Act (the "FCA"), which, among other things, prohibits a person from knowingly presenting, or causing to be presented, a false or fraudulent claim to the federal government. The statute defines "knowingly" to include not only actual knowledge of a claim’s falsity, but also reckless disregard for or intentional ignorance of the truth or falsity of a claim. Violators of the FCA are subject to severe financial penalties, including treble damages and per claim penalties in excess of $10,000. Because our facilities perform hundreds or thousands of similar procedures each year for which they are paid by Medicare, and since the statute of limitations for such claims extends for six years under normal circumstances (and possibly as long as ten years in the event of failure to discover material facts), a repetitive billing error or cost reporting error could result in significant, material repayments and civil or criminal penalties.</w:t>
      </w:r>
    </w:p>
    <w:p>
      <w:pPr>
        <w:spacing w:after="0" w:line="71" w:lineRule="exact"/>
        <w:rPr>
          <w:sz w:val="20"/>
          <w:szCs w:val="20"/>
          <w:color w:val="auto"/>
        </w:rPr>
      </w:pPr>
    </w:p>
    <w:p>
      <w:pPr>
        <w:jc w:val="both"/>
        <w:ind w:firstLine="309"/>
        <w:spacing w:after="0" w:line="269" w:lineRule="auto"/>
        <w:rPr>
          <w:sz w:val="20"/>
          <w:szCs w:val="20"/>
          <w:color w:val="auto"/>
        </w:rPr>
      </w:pPr>
      <w:r>
        <w:rPr>
          <w:rFonts w:ascii="Times New Roman" w:cs="Times New Roman" w:eastAsia="Times New Roman" w:hAnsi="Times New Roman"/>
          <w:sz w:val="15"/>
          <w:szCs w:val="15"/>
          <w:color w:val="auto"/>
        </w:rPr>
        <w:t>Moreover, individuals are increasingly using the "qui tam" or whistleblower provisions of the FCA, which permit private parties to bring actions on behalf of the federal government. If the government intervenes and prevails in the action, the defendant may be required to pay three times the actual damages sustained by the government, plus mandatory civil monetary penalties for each false claim submitted to the government. These private parties, often referred to as relators, are entitled to share in any amounts recovered by the government through trial or settlement.</w:t>
      </w:r>
    </w:p>
    <w:p>
      <w:pPr>
        <w:spacing w:after="0" w:line="7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An allegation or determination that we have violated the law could have a material adverse effect on our business, prospects, results of operations and financial condition.</w:t>
      </w:r>
    </w:p>
    <w:p>
      <w:pPr>
        <w:spacing w:after="0" w:line="111" w:lineRule="exact"/>
        <w:rPr>
          <w:sz w:val="20"/>
          <w:szCs w:val="20"/>
          <w:color w:val="auto"/>
        </w:rPr>
      </w:pPr>
    </w:p>
    <w:p>
      <w:pPr>
        <w:jc w:val="both"/>
        <w:ind w:firstLine="309"/>
        <w:spacing w:after="0" w:line="265" w:lineRule="auto"/>
        <w:rPr>
          <w:sz w:val="20"/>
          <w:szCs w:val="20"/>
          <w:color w:val="auto"/>
        </w:rPr>
      </w:pPr>
      <w:r>
        <w:rPr>
          <w:rFonts w:ascii="Times New Roman" w:cs="Times New Roman" w:eastAsia="Times New Roman" w:hAnsi="Times New Roman"/>
          <w:sz w:val="15"/>
          <w:szCs w:val="15"/>
          <w:color w:val="auto"/>
        </w:rPr>
        <w:t>In addition, a person who offers or transfers to a Medicare or Medicaid beneficiary any remuneration, including waivers of co-payments and deductible amounts (or any part thereof), that the person knows or should know is likely to influence the beneficiary’s selection of a particular provider, practitioner or supplier of Medicare or Medicaid payable items or services may be liable for civil monetary penalties of up to $20,000 for each wrongful act. Although this prohibition applies only to federal health care program beneficiaries, the routine waivers of copayments and deductibles offered to patients covered by commercial payors may implicate applicable state laws related to, among other things, unlawful schemes to defraud, excessive fees for services, tortious interference with patient contracts and statutory or common law fraud. To the extent our patient assistance programs or other discount policies are found to</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2"/>
          <w:szCs w:val="12"/>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be inconsistent with applicable laws, we may be required to restructure or discontinue such programs, or be subject to other significant penalties.</w:t>
      </w:r>
    </w:p>
    <w:p>
      <w:pPr>
        <w:spacing w:after="0" w:line="111" w:lineRule="exact"/>
        <w:rPr>
          <w:sz w:val="20"/>
          <w:szCs w:val="20"/>
          <w:color w:val="auto"/>
        </w:rPr>
      </w:pPr>
    </w:p>
    <w:p>
      <w:pPr>
        <w:jc w:val="both"/>
        <w:ind w:firstLine="309"/>
        <w:spacing w:after="0" w:line="279" w:lineRule="auto"/>
        <w:rPr>
          <w:sz w:val="20"/>
          <w:szCs w:val="20"/>
          <w:color w:val="auto"/>
        </w:rPr>
      </w:pPr>
      <w:r>
        <w:rPr>
          <w:rFonts w:ascii="Times New Roman" w:cs="Times New Roman" w:eastAsia="Times New Roman" w:hAnsi="Times New Roman"/>
          <w:sz w:val="15"/>
          <w:szCs w:val="15"/>
          <w:color w:val="auto"/>
        </w:rPr>
        <w:t>All payors are increasingly conducting post-payment audits. For example, CMS has implemented the RAC program, involving Medicare claims audits nationwide, and employs MICs to perform post-payment audits of Medicaid claims and identify overpayments. In addition to RACs and MICs, the state Medicaid agencies and other contractors have increased their review activities. We are regularly subject to these external audits and we also perform both internal and third-party audits and monitoring.</w:t>
      </w:r>
    </w:p>
    <w:p>
      <w:pPr>
        <w:spacing w:after="0" w:line="69" w:lineRule="exact"/>
        <w:rPr>
          <w:sz w:val="20"/>
          <w:szCs w:val="20"/>
          <w:color w:val="auto"/>
        </w:rPr>
      </w:pPr>
    </w:p>
    <w:p>
      <w:pPr>
        <w:jc w:val="both"/>
        <w:ind w:firstLine="309"/>
        <w:spacing w:after="0" w:line="273" w:lineRule="auto"/>
        <w:rPr>
          <w:sz w:val="20"/>
          <w:szCs w:val="20"/>
          <w:color w:val="auto"/>
        </w:rPr>
      </w:pPr>
      <w:r>
        <w:rPr>
          <w:rFonts w:ascii="Times New Roman" w:cs="Times New Roman" w:eastAsia="Times New Roman" w:hAnsi="Times New Roman"/>
          <w:sz w:val="15"/>
          <w:szCs w:val="15"/>
          <w:color w:val="auto"/>
        </w:rPr>
        <w:t>Although all other repayments requested to date as a result of RAC, MIC and ZPIC audits have not been material to our Company, we are unable to quantify the suspended payments and aggregate financial impact of these audits on our facilities given the pending appeals and uncertainty about the extent of future audits and whether the underlying conduct could be considered systemic. As such, the resolution of these audits could have a material adverse effect on our business, prospects, results of operations and financial condition.</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We may become involved in litigation which could negatively impact the value of our business.</w:t>
      </w:r>
    </w:p>
    <w:p>
      <w:pPr>
        <w:spacing w:after="0" w:line="128" w:lineRule="exact"/>
        <w:rPr>
          <w:sz w:val="20"/>
          <w:szCs w:val="20"/>
          <w:color w:val="auto"/>
        </w:rPr>
      </w:pPr>
    </w:p>
    <w:p>
      <w:pPr>
        <w:jc w:val="both"/>
        <w:ind w:firstLine="309"/>
        <w:spacing w:after="0" w:line="265" w:lineRule="auto"/>
        <w:rPr>
          <w:sz w:val="20"/>
          <w:szCs w:val="20"/>
          <w:color w:val="auto"/>
        </w:rPr>
      </w:pPr>
      <w:r>
        <w:rPr>
          <w:rFonts w:ascii="Times New Roman" w:cs="Times New Roman" w:eastAsia="Times New Roman" w:hAnsi="Times New Roman"/>
          <w:sz w:val="15"/>
          <w:szCs w:val="15"/>
          <w:color w:val="auto"/>
        </w:rPr>
        <w:t>From time-to-time we are involved in lawsuits, claims, audits and investigations, including those arising out of services provided, personal injury claims, professional liability claims, billing and marketing practices, employment disputes and contractual claims. We may become subject to future lawsuits, claims, audits and investigations that could result in substantial costs and divert our attention and resources and adversely affect our business condition. In addition, since our current growth strategy includes acquisitions, among other things, we may become exposed to legal claims for the activities of an acquired business prior to our acquisition of such business. These lawsuits, claims, audits or investigations, regardless of their merit or outcome, may also adversely affect our reputation and ability to expand our business.</w:t>
      </w:r>
    </w:p>
    <w:p>
      <w:pPr>
        <w:spacing w:after="0" w:line="66" w:lineRule="exact"/>
        <w:rPr>
          <w:sz w:val="20"/>
          <w:szCs w:val="20"/>
          <w:color w:val="auto"/>
        </w:rPr>
      </w:pPr>
    </w:p>
    <w:p>
      <w:pPr>
        <w:jc w:val="both"/>
        <w:ind w:firstLine="309"/>
        <w:spacing w:after="0" w:line="275" w:lineRule="auto"/>
        <w:rPr>
          <w:sz w:val="20"/>
          <w:szCs w:val="20"/>
          <w:color w:val="auto"/>
        </w:rPr>
      </w:pPr>
      <w:r>
        <w:rPr>
          <w:rFonts w:ascii="Times New Roman" w:cs="Times New Roman" w:eastAsia="Times New Roman" w:hAnsi="Times New Roman"/>
          <w:sz w:val="15"/>
          <w:szCs w:val="15"/>
          <w:color w:val="auto"/>
        </w:rPr>
        <w:t>In addition, from time to time we have received, and expect to continue to receive, correspondence from former employees terminated by us who threaten to bring claims against us alleging that we have violated one or more labor and employment regulations. In certain instances former employees have brought claims against us and we expect that we will encounter similar actions against us in the future. An adverse outcome in any such litigation could require us to pay contractual damages, compensatory damages, punitive damages, attorneys’ fees and costs.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If we become subject to large malpractice or other legal claims, we could be required to pay significant damages, which may not be covered by insurance.</w:t>
      </w:r>
    </w:p>
    <w:p>
      <w:pPr>
        <w:spacing w:after="0" w:line="115" w:lineRule="exact"/>
        <w:rPr>
          <w:sz w:val="20"/>
          <w:szCs w:val="20"/>
          <w:color w:val="auto"/>
        </w:rPr>
      </w:pPr>
    </w:p>
    <w:p>
      <w:pPr>
        <w:jc w:val="both"/>
        <w:ind w:firstLine="309"/>
        <w:spacing w:after="0" w:line="292" w:lineRule="auto"/>
        <w:rPr>
          <w:sz w:val="20"/>
          <w:szCs w:val="20"/>
          <w:color w:val="auto"/>
        </w:rPr>
      </w:pPr>
      <w:r>
        <w:rPr>
          <w:rFonts w:ascii="Times New Roman" w:cs="Times New Roman" w:eastAsia="Times New Roman" w:hAnsi="Times New Roman"/>
          <w:sz w:val="15"/>
          <w:szCs w:val="15"/>
          <w:color w:val="auto"/>
        </w:rPr>
        <w:t>In recent years, physicians, hospitals and other health care providers have become subject to an increasing number of legal actions alleging malpractice, product liability or related legal theories. Many of these actions involve large monetary claims and significant defense costs. We also owe certain defense and indemnity obligations to our officers and directors.</w:t>
      </w:r>
    </w:p>
    <w:p>
      <w:pPr>
        <w:spacing w:after="0" w:line="251" w:lineRule="exact"/>
        <w:rPr>
          <w:sz w:val="20"/>
          <w:szCs w:val="20"/>
          <w:color w:val="auto"/>
        </w:rPr>
      </w:pPr>
    </w:p>
    <w:p>
      <w:pPr>
        <w:jc w:val="both"/>
        <w:ind w:firstLine="309"/>
        <w:spacing w:after="0" w:line="265" w:lineRule="auto"/>
        <w:rPr>
          <w:sz w:val="20"/>
          <w:szCs w:val="20"/>
          <w:color w:val="auto"/>
        </w:rPr>
      </w:pPr>
      <w:r>
        <w:rPr>
          <w:rFonts w:ascii="Times New Roman" w:cs="Times New Roman" w:eastAsia="Times New Roman" w:hAnsi="Times New Roman"/>
          <w:sz w:val="15"/>
          <w:szCs w:val="15"/>
          <w:color w:val="auto"/>
        </w:rPr>
        <w:t>Our insurance coverage may not cover all claims against us, or insurance coverage may not continue to be available at a cost allowing us to maintain adequate levels of insurance. If one or more successful claims against us were not covered by or exceeded the coverage of our insurance, our financial condition and results of operations could be adversely affected. Our business, profitability and growth prospects could suffer if we face negative publicity or we pay damages or defense costs in connection with a claim that is outside the scope or limits of coverage of any applicable insurance coverage, including claims related to adverse patient events, contractual disputes, professional and general liability, and directors’ and officers’ duties.</w:t>
      </w:r>
    </w:p>
    <w:p>
      <w:pPr>
        <w:spacing w:after="0" w:line="79" w:lineRule="exact"/>
        <w:rPr>
          <w:sz w:val="20"/>
          <w:szCs w:val="20"/>
          <w:color w:val="auto"/>
        </w:rPr>
      </w:pPr>
    </w:p>
    <w:p>
      <w:pPr>
        <w:jc w:val="both"/>
        <w:ind w:firstLine="309"/>
        <w:spacing w:after="0" w:line="289" w:lineRule="auto"/>
        <w:rPr>
          <w:sz w:val="20"/>
          <w:szCs w:val="20"/>
          <w:color w:val="auto"/>
        </w:rPr>
      </w:pPr>
      <w:r>
        <w:rPr>
          <w:rFonts w:ascii="Times New Roman" w:cs="Times New Roman" w:eastAsia="Times New Roman" w:hAnsi="Times New Roman"/>
          <w:sz w:val="15"/>
          <w:szCs w:val="15"/>
          <w:color w:val="auto"/>
        </w:rPr>
        <w:t>In addition, market rates for insurance premiums and deductibles have been steadily increasing. Our earnings and cash flows could be materially and adversely affected by any of the following:</w:t>
      </w:r>
    </w:p>
    <w:p>
      <w:pPr>
        <w:spacing w:after="0" w:line="49" w:lineRule="exact"/>
        <w:rPr>
          <w:sz w:val="20"/>
          <w:szCs w:val="20"/>
          <w:color w:val="auto"/>
        </w:rPr>
      </w:pPr>
    </w:p>
    <w:p>
      <w:pPr>
        <w:ind w:left="620" w:hanging="307"/>
        <w:spacing w:after="0"/>
        <w:tabs>
          <w:tab w:leader="none" w:pos="62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collapse or insolvency of our insurance carriers;</w:t>
      </w:r>
    </w:p>
    <w:p>
      <w:pPr>
        <w:spacing w:after="0" w:line="124" w:lineRule="exact"/>
        <w:rPr>
          <w:rFonts w:ascii="Times New Roman" w:cs="Times New Roman" w:eastAsia="Times New Roman" w:hAnsi="Times New Roman"/>
          <w:sz w:val="15"/>
          <w:szCs w:val="15"/>
          <w:color w:val="auto"/>
        </w:rPr>
      </w:pPr>
    </w:p>
    <w:p>
      <w:pPr>
        <w:ind w:left="620" w:hanging="307"/>
        <w:spacing w:after="0"/>
        <w:tabs>
          <w:tab w:leader="none" w:pos="62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further increases in premiums and deductibles;</w:t>
      </w:r>
    </w:p>
    <w:p>
      <w:pPr>
        <w:spacing w:after="0" w:line="111" w:lineRule="exact"/>
        <w:rPr>
          <w:rFonts w:ascii="Times New Roman" w:cs="Times New Roman" w:eastAsia="Times New Roman" w:hAnsi="Times New Roman"/>
          <w:sz w:val="15"/>
          <w:szCs w:val="15"/>
          <w:color w:val="auto"/>
        </w:rPr>
      </w:pPr>
    </w:p>
    <w:p>
      <w:pPr>
        <w:ind w:left="620" w:hanging="307"/>
        <w:spacing w:after="0"/>
        <w:tabs>
          <w:tab w:leader="none" w:pos="62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increases in the number of liability claims against us or the cost of settling or trying cases related to those claims; or</w:t>
      </w:r>
    </w:p>
    <w:p>
      <w:pPr>
        <w:spacing w:after="0" w:line="124" w:lineRule="exact"/>
        <w:rPr>
          <w:rFonts w:ascii="Times New Roman" w:cs="Times New Roman" w:eastAsia="Times New Roman" w:hAnsi="Times New Roman"/>
          <w:sz w:val="15"/>
          <w:szCs w:val="15"/>
          <w:color w:val="auto"/>
        </w:rPr>
      </w:pPr>
    </w:p>
    <w:p>
      <w:pPr>
        <w:ind w:left="620" w:hanging="307"/>
        <w:spacing w:after="0"/>
        <w:tabs>
          <w:tab w:leader="none" w:pos="62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inability to obtain one or more types of insurance on acceptable terms, if at all.</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Failure to comply with Medicare’s conditions for coverage and conditions of participation may result in loss of program payment or other governmental sanctions.</w:t>
      </w:r>
    </w:p>
    <w:p>
      <w:pPr>
        <w:spacing w:after="0" w:line="115" w:lineRule="exact"/>
        <w:rPr>
          <w:sz w:val="20"/>
          <w:szCs w:val="20"/>
          <w:color w:val="auto"/>
        </w:rPr>
      </w:pPr>
    </w:p>
    <w:p>
      <w:pPr>
        <w:jc w:val="both"/>
        <w:ind w:firstLine="309"/>
        <w:spacing w:after="0" w:line="264" w:lineRule="auto"/>
        <w:rPr>
          <w:sz w:val="20"/>
          <w:szCs w:val="20"/>
          <w:color w:val="auto"/>
        </w:rPr>
      </w:pPr>
      <w:r>
        <w:rPr>
          <w:rFonts w:ascii="Times New Roman" w:cs="Times New Roman" w:eastAsia="Times New Roman" w:hAnsi="Times New Roman"/>
          <w:sz w:val="15"/>
          <w:szCs w:val="15"/>
          <w:color w:val="auto"/>
        </w:rPr>
        <w:t>To participate in and receive payment from the Medicare program, our facilities must comply with regulations promulgated by CMS. These regulations, known as "conditions for coverage" for ASCs and "conditions of participation" for hospitals, set forth specific requirements with respect to, among other things, the facility’s physical plant, equipment, personnel and standards of medical care. All of our surgery centers and surgical hospitals are certified to participate in the Medicare program. As such, these facilities are subject to on-site, unannounced surveys by state survey agencies working on behalf of CMS, which may lead to deficiency citations requiring remedy with appropriate action plans. Failure to comply with Medicare’s conditions for coverage or conditions of participation may result in loss of payment or other governmental sanctions, including termination from participation in the Medicare program. We have established ongoing quality assurance activities to monitor our facilities’ compliance with these conditions and respond to surveys, but we cannot be sure that our facilities are or will always remain in full compliance with the requirements. In addition, pending a determination regarding our compliance with these conditions, payment to us may be suspended and we may be required to devote significant time, effort and expense to demonstrate satisfactory compliance.</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2"/>
          <w:szCs w:val="12"/>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Our facilities could face decreased Medicare payments if they fail to report and meet various quality metrics.</w:t>
      </w:r>
    </w:p>
    <w:p>
      <w:pPr>
        <w:spacing w:after="0" w:line="115" w:lineRule="exact"/>
        <w:rPr>
          <w:sz w:val="20"/>
          <w:szCs w:val="20"/>
          <w:color w:val="auto"/>
        </w:rPr>
      </w:pPr>
    </w:p>
    <w:p>
      <w:pPr>
        <w:jc w:val="both"/>
        <w:ind w:firstLine="309"/>
        <w:spacing w:after="0" w:line="265" w:lineRule="auto"/>
        <w:rPr>
          <w:sz w:val="20"/>
          <w:szCs w:val="20"/>
          <w:color w:val="auto"/>
        </w:rPr>
      </w:pPr>
      <w:r>
        <w:rPr>
          <w:rFonts w:ascii="Times New Roman" w:cs="Times New Roman" w:eastAsia="Times New Roman" w:hAnsi="Times New Roman"/>
          <w:sz w:val="15"/>
          <w:szCs w:val="15"/>
          <w:color w:val="auto"/>
        </w:rPr>
        <w:t>The Medicare program presently requires hospitals and ASCs to report performance data on a variety of quality metrics. Facilities that fail to report are penalized with reduced Medicare payments. Additionally, payments to hospitals are adjusted based on the hospital’s performance on these quality measures. A substantial portion of hospital payment is at risk depending on its individual performance relative to benchmarks and other hospitals’ performance. There is a substantial risk that our Medicare payments could be reduced if our hospitals fail to perform adequately on these measures. Additionally, there is a risk that Medicare payments could be reduced if our facilities (hospitals and ASCs) fail to adequately report data as required by CMS. ASC payments are not yet adjusted based on performance against quality measures, but there is a substantial risk that Congress may soon link ASC Medicare payments to actual performance, in addition to reporting.</w:t>
      </w:r>
    </w:p>
    <w:p>
      <w:pPr>
        <w:spacing w:after="0" w:line="82" w:lineRule="exact"/>
        <w:rPr>
          <w:sz w:val="20"/>
          <w:szCs w:val="20"/>
          <w:color w:val="auto"/>
        </w:rPr>
      </w:pPr>
    </w:p>
    <w:p>
      <w:pPr>
        <w:jc w:val="both"/>
        <w:ind w:firstLine="309"/>
        <w:spacing w:after="0" w:line="289" w:lineRule="auto"/>
        <w:rPr>
          <w:sz w:val="20"/>
          <w:szCs w:val="20"/>
          <w:color w:val="auto"/>
        </w:rPr>
      </w:pPr>
      <w:r>
        <w:rPr>
          <w:rFonts w:ascii="Times New Roman" w:cs="Times New Roman" w:eastAsia="Times New Roman" w:hAnsi="Times New Roman"/>
          <w:sz w:val="15"/>
          <w:szCs w:val="15"/>
          <w:color w:val="auto"/>
        </w:rPr>
        <w:t>If the public performance data becomes a primary factor in determining where patients choose to receive care, and if competing hospitals and ASCs have better results than our facilities on those measures, our patient volumes could decline.</w:t>
      </w:r>
    </w:p>
    <w:p>
      <w:pPr>
        <w:spacing w:after="0" w:line="58"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5"/>
          <w:szCs w:val="15"/>
          <w:b w:val="1"/>
          <w:bCs w:val="1"/>
          <w:color w:val="auto"/>
        </w:rPr>
        <w:t>State efforts to regulate the construction, acquisition or expansion of health care facilities could prevent us from acquiring additional surgical facilities, renovating our existing facilities or expanding the breadth of services we offer.</w:t>
      </w:r>
    </w:p>
    <w:p>
      <w:pPr>
        <w:spacing w:after="0" w:line="46" w:lineRule="exact"/>
        <w:rPr>
          <w:sz w:val="20"/>
          <w:szCs w:val="20"/>
          <w:color w:val="auto"/>
        </w:rPr>
      </w:pPr>
    </w:p>
    <w:p>
      <w:pPr>
        <w:jc w:val="both"/>
        <w:ind w:firstLine="309"/>
        <w:spacing w:after="0" w:line="263" w:lineRule="auto"/>
        <w:rPr>
          <w:sz w:val="20"/>
          <w:szCs w:val="20"/>
          <w:color w:val="auto"/>
        </w:rPr>
      </w:pPr>
      <w:r>
        <w:rPr>
          <w:rFonts w:ascii="Times New Roman" w:cs="Times New Roman" w:eastAsia="Times New Roman" w:hAnsi="Times New Roman"/>
          <w:sz w:val="15"/>
          <w:szCs w:val="15"/>
          <w:color w:val="auto"/>
        </w:rPr>
        <w:t>Some states are increasingly scrutinizing healthcare mergers, acquisitions, joint ventures, and other strategic transactions. Several states have recently enacted or are contemplating statutes that broadly focus on assessing and regulating the transactional impacts on healthcare quality, cost, equity, and accessibility. This trend of increased scrutiny and expanded regulatory oversight of healthcare transactions is anticipated to persist, typically requiring regulatory approval. Additionally, some states require prior approval for the construction, acquisition or expansion of health care facilities or expansion of the services the facilities offer. In giving approval, these states consider the need for additional or expanded health care facilities or services, as well as the financial resources and operational experience of the potential new owners of existing health care facilities. In many of the states in which we currently operate, certificates of need must be obtained for capital expenditures exceeding a prescribed amount, changes in capacity or services offered and various other matters. The remaining states in which we now or may in the future operate may adopt similar legislation. Our costs of obtaining a certificate of need could be significant, and we cannot assure you that we will be able to obtain the certificates of need or other required approvals for additional or expanded surgical facilities or services in the future. In addition, at the time we acquire a surgical facility, we may agree to replace or expand the acquired facility. If we are unable to obtain required approvals, we may not be able to acquire additional surgical facilities, expand health care services we provide at these facilities or replace or expand acquired facilities.</w:t>
      </w:r>
    </w:p>
    <w:p>
      <w:pPr>
        <w:spacing w:after="0" w:line="6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5"/>
          <w:szCs w:val="15"/>
          <w:b w:val="1"/>
          <w:bCs w:val="1"/>
          <w:color w:val="auto"/>
        </w:rPr>
        <w:t>If antitrust enforcement authorities conclude that our market share in any particular market is too concentrated, that our or our health system partners’ commercial payor contract negotiating practices are illegal, or that we other violate antitrust laws, we could be subject to enforcement actions that could have a material adverse effect on our business, prospects, results of operations and financial condition.</w:t>
      </w:r>
    </w:p>
    <w:p>
      <w:pPr>
        <w:spacing w:after="0" w:line="56" w:lineRule="exact"/>
        <w:rPr>
          <w:sz w:val="20"/>
          <w:szCs w:val="20"/>
          <w:color w:val="auto"/>
        </w:rPr>
      </w:pPr>
    </w:p>
    <w:p>
      <w:pPr>
        <w:jc w:val="both"/>
        <w:ind w:firstLine="309"/>
        <w:spacing w:after="0" w:line="269" w:lineRule="auto"/>
        <w:rPr>
          <w:sz w:val="20"/>
          <w:szCs w:val="20"/>
          <w:color w:val="auto"/>
        </w:rPr>
      </w:pPr>
      <w:r>
        <w:rPr>
          <w:rFonts w:ascii="Times New Roman" w:cs="Times New Roman" w:eastAsia="Times New Roman" w:hAnsi="Times New Roman"/>
          <w:sz w:val="15"/>
          <w:szCs w:val="15"/>
          <w:color w:val="auto"/>
        </w:rPr>
        <w:t>The federal government and most states have enacted antitrust laws that prohibit certain types of conduct deemed to be anti-competitive. These laws prohibit price fixing, concerted refusal to deal, market monopolization, price discrimination, tying arrangements, acquisitions of competitors and other practices that have, or may have, an adverse effect on competition. Violations of federal or state antitrust laws can result in various sanctions, including criminal and civil penalties. Antitrust enforcement in the health care industry is currently a priority of the FTC. We believe we are in compliance with federal and state antitrust laws, but courts or regulatory authorities may reach a determination in the future that could have a material adverse effect on our business, prospects, results of operations and financial condition.</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231F20"/>
        </w:rPr>
        <w:t>Governance Risks</w:t>
      </w:r>
    </w:p>
    <w:p>
      <w:pPr>
        <w:spacing w:after="0" w:line="124"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5"/>
          <w:szCs w:val="15"/>
          <w:b w:val="1"/>
          <w:bCs w:val="1"/>
          <w:color w:val="auto"/>
        </w:rPr>
        <w:t>Our largest stockholder has significant influence over us, including influence over decisions that require the approval of stockholders, which could limit our stockholders’ ability to influence the outcome of key transactions, including a change of control.</w:t>
      </w:r>
    </w:p>
    <w:p>
      <w:pPr>
        <w:spacing w:after="0" w:line="58" w:lineRule="exact"/>
        <w:rPr>
          <w:sz w:val="20"/>
          <w:szCs w:val="20"/>
          <w:color w:val="auto"/>
        </w:rPr>
      </w:pPr>
    </w:p>
    <w:p>
      <w:pPr>
        <w:jc w:val="both"/>
        <w:ind w:firstLine="309"/>
        <w:spacing w:after="0" w:line="289" w:lineRule="auto"/>
        <w:rPr>
          <w:sz w:val="20"/>
          <w:szCs w:val="20"/>
          <w:color w:val="auto"/>
        </w:rPr>
      </w:pPr>
      <w:r>
        <w:rPr>
          <w:rFonts w:ascii="Times New Roman" w:cs="Times New Roman" w:eastAsia="Times New Roman" w:hAnsi="Times New Roman"/>
          <w:sz w:val="15"/>
          <w:szCs w:val="15"/>
          <w:color w:val="auto"/>
        </w:rPr>
        <w:t>As of December 31, 2025, affiliates of Bain Capital owned approximately 38.6% of our outstanding common stock. Although we are no longer a “controlled company” within the meaning of the corporate governance standards of Nasdaq, affiliates of Bain Capital continue to be able to significantly influence our decisions.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231F20"/>
        </w:rPr>
        <w:t>Provisions in our charter documents and Delaware law may deter takeover efforts that could be beneficial to stockholder value.</w:t>
      </w:r>
    </w:p>
    <w:p>
      <w:pPr>
        <w:spacing w:after="0" w:line="128" w:lineRule="exact"/>
        <w:rPr>
          <w:sz w:val="20"/>
          <w:szCs w:val="20"/>
          <w:color w:val="auto"/>
        </w:rPr>
      </w:pPr>
    </w:p>
    <w:p>
      <w:pPr>
        <w:jc w:val="both"/>
        <w:ind w:firstLine="309"/>
        <w:spacing w:after="0" w:line="265" w:lineRule="auto"/>
        <w:rPr>
          <w:sz w:val="20"/>
          <w:szCs w:val="20"/>
          <w:color w:val="auto"/>
        </w:rPr>
      </w:pPr>
      <w:r>
        <w:rPr>
          <w:rFonts w:ascii="Times New Roman" w:cs="Times New Roman" w:eastAsia="Times New Roman" w:hAnsi="Times New Roman"/>
          <w:sz w:val="15"/>
          <w:szCs w:val="15"/>
          <w:color w:val="auto"/>
        </w:rPr>
        <w:t>Our certificate of incorporation and by-laws and Delaware law contain provisions that could make it harder for a third party to acquire us, even if doing so might be beneficial to our stockholders. The provisions in our organizational documents include a classified board of directors and limitations on actions by our stockholders. In addition, our board of directors has the right to issue preferred stock without stockholder approval that could be used to dilute a potential hostile acquiror. Our certificate of incorporation also imposes some restrictions on mergers and other business combinations between us and any holder of 15.0% or more of our outstanding common stock other than affiliates of Bain Capital. As a result of these features, our stockholders may lose their ability to sell their stock for a price in excess of the prevailing market price, and efforts by stockholders to change the direction or management of the Company may be unsuccessful.</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2"/>
          <w:szCs w:val="12"/>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5"/>
          <w:szCs w:val="15"/>
          <w:b w:val="1"/>
          <w:bCs w:val="1"/>
          <w:color w:val="auto"/>
        </w:rPr>
        <w:t>Our amended and restated certificate of incorporation designates courts in the State of Delaware as the sole and exclusive forum for certain types of actions and proceedings that may be initiated by our stockholders, which could limit our stockholders’ ability to obtain a favorable judicial forum for disputes with us or our directors, officers or employees.</w:t>
      </w:r>
    </w:p>
    <w:p>
      <w:pPr>
        <w:spacing w:after="0" w:line="56" w:lineRule="exact"/>
        <w:rPr>
          <w:sz w:val="20"/>
          <w:szCs w:val="20"/>
          <w:color w:val="auto"/>
        </w:rPr>
      </w:pPr>
    </w:p>
    <w:p>
      <w:pPr>
        <w:jc w:val="both"/>
        <w:ind w:firstLine="309"/>
        <w:spacing w:after="0" w:line="262" w:lineRule="auto"/>
        <w:rPr>
          <w:sz w:val="20"/>
          <w:szCs w:val="20"/>
          <w:color w:val="auto"/>
        </w:rPr>
      </w:pPr>
      <w:r>
        <w:rPr>
          <w:rFonts w:ascii="Times New Roman" w:cs="Times New Roman" w:eastAsia="Times New Roman" w:hAnsi="Times New Roman"/>
          <w:sz w:val="15"/>
          <w:szCs w:val="15"/>
          <w:color w:val="auto"/>
        </w:rPr>
        <w:t>Our amended and restated certificate of incorporation (the "Certificate of Incorporation") provides that, subject to certain exceptions and to the fullest extent permitted by applicable law, the Court of Chancery of the State of Delaware (the "Court of Chancery") will be the sole and exclusive forum for (i) any derivative action or proceeding brought on our behalf, (ii) any action asserting a claim of breach of a fiduciary duty owed by any of our directors, officers or other employees to us or our stockholders, (iii) any action asserting a claim against us arising pursuant to any provision of the General Corporation Law of the State of Delaware, our Certificate of Incorporation or our amended and restated bylaws or</w:t>
      </w:r>
    </w:p>
    <w:p>
      <w:pPr>
        <w:spacing w:after="0" w:line="1" w:lineRule="exact"/>
        <w:rPr>
          <w:sz w:val="20"/>
          <w:szCs w:val="20"/>
          <w:color w:val="auto"/>
        </w:rPr>
      </w:pPr>
    </w:p>
    <w:p>
      <w:pPr>
        <w:jc w:val="both"/>
        <w:ind w:firstLine="3"/>
        <w:spacing w:after="0" w:line="260" w:lineRule="auto"/>
        <w:tabs>
          <w:tab w:leader="none" w:pos="269"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other action asserting a claim against us that is governed by the internal affairs doctrine (each, a "Covered Proceeding"). In addition, the Certificate of Incorporation states that this exclusive forum provision does not apply to actions in which the Court of Chancery concludes that an indispensable party is not subject to the jurisdiction of the Delaware courts and can be subject to the jurisdiction of another court within the U.S. Our Certificate of Incorporation also provides that if any action, the subject matter of which is a Covered Proceeding, is filed in a court other than the specified Delaware courts without the approval of our board of directors (each, a "Foreign Action"), the claiming party will be deemed to have consented to (i) the personal jurisdiction of the specified Delaware courts in connection with any action brought in any such courts to enforce the exclusive forum provision described above and (ii) having service of process made upon such claiming party in any such enforcement action by service upon such claiming party’s counsel in the Foreign Action as agent for such claiming party. It is our current view that in some circumstances, such as in respect of actions arising under the Securities Act of 1933, as amended, or the Securities Exchange Act of 1934, as amended (the "Exchange Act"), the Court of Chancery may decline to exercise jurisdiction over such actions. Under such circumstances, our Certificate of Incorporation holds that such actions may properly be filed in a court other than the Court of Chancery. Any person or entity purchasing or otherwise acquiring any interest in shares of our stock shall be deemed to have notice of and to have consented to these provisions in our Certificate of Incorporation. These provisions may limit a stockholder’s ability to bring a claim in a judicial forum that it finds favorable for disputes with us or our directors, officers or other employees, which may discourage such lawsuits against us and our directors, officers and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2"/>
          <w:szCs w:val="12"/>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1B. Unresolved Staff Comments</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None.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1C. Cybersecurity</w:t>
      </w:r>
    </w:p>
    <w:p>
      <w:pPr>
        <w:spacing w:after="0" w:line="115" w:lineRule="exact"/>
        <w:rPr>
          <w:sz w:val="20"/>
          <w:szCs w:val="20"/>
          <w:color w:val="auto"/>
        </w:rPr>
      </w:pPr>
    </w:p>
    <w:p>
      <w:pPr>
        <w:jc w:val="both"/>
        <w:ind w:firstLine="309"/>
        <w:spacing w:after="0" w:line="292" w:lineRule="auto"/>
        <w:rPr>
          <w:sz w:val="20"/>
          <w:szCs w:val="20"/>
          <w:color w:val="auto"/>
        </w:rPr>
      </w:pPr>
      <w:r>
        <w:rPr>
          <w:rFonts w:ascii="Times New Roman" w:cs="Times New Roman" w:eastAsia="Times New Roman" w:hAnsi="Times New Roman"/>
          <w:sz w:val="15"/>
          <w:szCs w:val="15"/>
          <w:color w:val="auto"/>
        </w:rPr>
        <w:t>The following sets forth information regarding our cybersecurity strategy, risk management program and approach to governance as it relates to cybersecurity risks. For additional information on the impact of cybersecurity risks on our business, please refer to Part I, Item 1A. Risk Factors, of this Form 10-K under the heading "Cybersecurity and Data Risks."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Cybersecurity Risk Management and Strategy</w:t>
      </w:r>
    </w:p>
    <w:p>
      <w:pPr>
        <w:spacing w:after="0" w:line="115" w:lineRule="exact"/>
        <w:rPr>
          <w:sz w:val="20"/>
          <w:szCs w:val="20"/>
          <w:color w:val="auto"/>
        </w:rPr>
      </w:pPr>
    </w:p>
    <w:p>
      <w:pPr>
        <w:jc w:val="both"/>
        <w:ind w:firstLine="309"/>
        <w:spacing w:after="0" w:line="254" w:lineRule="auto"/>
        <w:rPr>
          <w:sz w:val="20"/>
          <w:szCs w:val="20"/>
          <w:color w:val="auto"/>
        </w:rPr>
      </w:pPr>
      <w:r>
        <w:rPr>
          <w:rFonts w:ascii="Times New Roman" w:cs="Times New Roman" w:eastAsia="Times New Roman" w:hAnsi="Times New Roman"/>
          <w:sz w:val="15"/>
          <w:szCs w:val="15"/>
          <w:color w:val="auto"/>
        </w:rPr>
        <w:t>Management has responsibility for developing and coordinating the Company’s cybersecurity policy and strategy, and for managing the prevention, detection, mitigation and remediation of cybersecurity incidents. We utilize various risk assessment tools and technologies to identify potential cyber and information security threats and risks as well as engage with various third parties to assist in program development, risk evaluation and testing. Our cybersecurity program is predicated on the National Institute of Standards and Technology Cybersecurity Framework (NIST CSF). At a minimum, on an annual basis we measure ourselves against this framework and use the NIST CSF as a guide to help us identify, assess, and manage cybersecurity risks relevant to our strategic execution. We also have implemented a third-party risk assessment process for certain service providers, suppliers, and vendors, which is conducted during the procurement cycle and, with respect to critical vendors on an annual basis. In addition, all team members are required to participate in ongoing training and awareness programs that include periodic assessments to drive adoption and awareness of cybersecurity processes and controls.</w:t>
      </w:r>
    </w:p>
    <w:p>
      <w:pPr>
        <w:spacing w:after="0" w:line="63" w:lineRule="exact"/>
        <w:rPr>
          <w:sz w:val="20"/>
          <w:szCs w:val="20"/>
          <w:color w:val="auto"/>
        </w:rPr>
      </w:pPr>
    </w:p>
    <w:p>
      <w:pPr>
        <w:jc w:val="both"/>
        <w:ind w:firstLine="309"/>
        <w:spacing w:after="0" w:line="255" w:lineRule="auto"/>
        <w:rPr>
          <w:sz w:val="20"/>
          <w:szCs w:val="20"/>
          <w:color w:val="auto"/>
        </w:rPr>
      </w:pPr>
      <w:r>
        <w:rPr>
          <w:rFonts w:ascii="Times New Roman" w:cs="Times New Roman" w:eastAsia="Times New Roman" w:hAnsi="Times New Roman"/>
          <w:sz w:val="15"/>
          <w:szCs w:val="15"/>
          <w:color w:val="auto"/>
        </w:rPr>
        <w:t>We promote a company-wide culture of cybersecurity risk management intended to protect the confidentiality, integrity, and availability of our critical systems and the information contained therein. As part of our cybersecurity risk management strategy, our corporate information technology team collaborates cross-functionally with key business leaders within privacy, compliance, finance and operations, among others, to identify, assess, and manage cybersecurity risks relevant to our business. Additionally, we have a cybersecurity and privacy governance committee, consisting of our executive and regional leadership teams and led by our Chief Information Security Officer (CISO) and Privacy Officer, which meets on a quarterly basis. This committee assists in discussing existing or emerging threats, prioritizing roadmap items and/or budgetary considerations for project work.</w:t>
      </w:r>
    </w:p>
    <w:p>
      <w:pPr>
        <w:spacing w:after="0" w:line="257" w:lineRule="exact"/>
        <w:rPr>
          <w:sz w:val="20"/>
          <w:szCs w:val="20"/>
          <w:color w:val="auto"/>
        </w:rPr>
      </w:pPr>
    </w:p>
    <w:p>
      <w:pPr>
        <w:jc w:val="both"/>
        <w:ind w:firstLine="309"/>
        <w:spacing w:after="0" w:line="257" w:lineRule="auto"/>
        <w:rPr>
          <w:sz w:val="20"/>
          <w:szCs w:val="20"/>
          <w:color w:val="auto"/>
        </w:rPr>
      </w:pPr>
      <w:r>
        <w:rPr>
          <w:rFonts w:ascii="Times New Roman" w:cs="Times New Roman" w:eastAsia="Times New Roman" w:hAnsi="Times New Roman"/>
          <w:sz w:val="15"/>
          <w:szCs w:val="15"/>
          <w:color w:val="auto"/>
        </w:rPr>
        <w:t>No risks from cybersecurity threats or previous cybersecurity incidents have materially affected, or are reasonably likely to materially affect, our business strategy, financial condition or results of operations. However, there can be no assurance that the controls and procedures in place to monitor and mitigate the risks of cybersecurity threats will be successful or sufficient to avoid material losses or consequences in the future. Additionally, while we have insurance coverage in place that is designed to address certain aspects of cybersecurity risks, such insurance coverage may be insufficient to cover all insured losses or all types of claims that may arise.</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Cybersecurity Governance</w:t>
      </w:r>
    </w:p>
    <w:p>
      <w:pPr>
        <w:spacing w:after="0" w:line="115" w:lineRule="exact"/>
        <w:rPr>
          <w:sz w:val="20"/>
          <w:szCs w:val="20"/>
          <w:color w:val="auto"/>
        </w:rPr>
      </w:pPr>
    </w:p>
    <w:p>
      <w:pPr>
        <w:jc w:val="both"/>
        <w:ind w:firstLine="309"/>
        <w:spacing w:after="0" w:line="254" w:lineRule="auto"/>
        <w:rPr>
          <w:sz w:val="20"/>
          <w:szCs w:val="20"/>
          <w:color w:val="auto"/>
        </w:rPr>
      </w:pPr>
      <w:r>
        <w:rPr>
          <w:rFonts w:ascii="Times New Roman" w:cs="Times New Roman" w:eastAsia="Times New Roman" w:hAnsi="Times New Roman"/>
          <w:sz w:val="15"/>
          <w:szCs w:val="15"/>
          <w:color w:val="auto"/>
        </w:rPr>
        <w:t>Management is responsible for the day-to-day handling of risks facing our Company. Our Board of Directors as a whole and through its committees, oversees risk management, including cybersecurity risks. The Board has delegated risk management responsibilities with respects to cybersecurity to our Audit Committee. Specifically, the Audit Committee periodically reviews our cybersecurity policies, data security programs and plans that management has established to monitor compliance and assess preparedness. Our cybersecurity team is led by our CISO, who has over 20 years of experience in the cybersecurity space and is a Certified Information Security Manager (CISM). On an annual basis, at a minimum, our CISO or Chief Information Officer (CIO) present necessary updates on our cybersecurity risks and any material cybersecurity incidents to the Audit Committee of the Board. These updates include the following: (i) current cybersecurity threats, (ii) an overview of third-party risks, (iii) our cybersecurity roadmap, (iv) the maturity of our cybersecurity programs and/or (v) ongoing regulatory compliance.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2. Properties</w:t>
      </w:r>
    </w:p>
    <w:p>
      <w:pPr>
        <w:spacing w:after="0" w:line="115" w:lineRule="exact"/>
        <w:rPr>
          <w:sz w:val="20"/>
          <w:szCs w:val="20"/>
          <w:color w:val="auto"/>
        </w:rPr>
      </w:pPr>
    </w:p>
    <w:p>
      <w:pPr>
        <w:jc w:val="both"/>
        <w:ind w:firstLine="309"/>
        <w:spacing w:after="0" w:line="265" w:lineRule="auto"/>
        <w:rPr>
          <w:sz w:val="20"/>
          <w:szCs w:val="20"/>
          <w:color w:val="auto"/>
        </w:rPr>
      </w:pPr>
      <w:r>
        <w:rPr>
          <w:rFonts w:ascii="Times New Roman" w:cs="Times New Roman" w:eastAsia="Times New Roman" w:hAnsi="Times New Roman"/>
          <w:sz w:val="15"/>
          <w:szCs w:val="15"/>
          <w:color w:val="auto"/>
        </w:rPr>
        <w:t>Our corporate headquarters is located in Brentwood, Tennessee, where we currently lease approximately 29,670 square feet of office space pursuant to an agreement with an initial term expiring January 30, 2027. Our surgical facilities typically are located on real estate leased by the partnership or limited liability company that operates the facility. Of our 176 surgical facilities, 173 utilize leased real property. These leases generally have initial terms of 10 years, but range from 2 to 15 years. Most of the leases contain options to extend the lease period for up to 10 additional years. We generally guarantee the lease obligations of the partnerships and LLCs that own our surgical facilities. We expect to be able to renew or replace a substantial majority of these leases on substantially similar terms as they come due. Most of our ASCs range in size from 8,000 to 12,000 square feet and are specifically tailored to meet the needs of physician-partners and their specialties. We believe these spaces are sufficient and adequate for our needs at this time.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3. Legal Proceedings</w:t>
      </w:r>
    </w:p>
    <w:p>
      <w:pPr>
        <w:spacing w:after="0" w:line="128" w:lineRule="exact"/>
        <w:rPr>
          <w:sz w:val="20"/>
          <w:szCs w:val="20"/>
          <w:color w:val="auto"/>
        </w:rPr>
      </w:pPr>
    </w:p>
    <w:p>
      <w:pPr>
        <w:jc w:val="both"/>
        <w:ind w:firstLine="309"/>
        <w:spacing w:after="0" w:line="269" w:lineRule="auto"/>
        <w:rPr>
          <w:sz w:val="20"/>
          <w:szCs w:val="20"/>
          <w:color w:val="auto"/>
        </w:rPr>
      </w:pPr>
      <w:r>
        <w:rPr>
          <w:rFonts w:ascii="Times New Roman" w:cs="Times New Roman" w:eastAsia="Times New Roman" w:hAnsi="Times New Roman"/>
          <w:sz w:val="15"/>
          <w:szCs w:val="15"/>
          <w:color w:val="auto"/>
        </w:rPr>
        <w:t>We are, from time to time, subject to claims and suits, or threats of claims or suits, relating to our business, including claims for damages for personal injuries, breach of management contracts and employment-related claims. In certain of these actions, plaintiffs request payment for damages, including punitive damages, which may not be covered by insurance or may otherwise have a material adverse effect on our business or results of operations. In the opinion of management, we are not currently a party to any proceedings that would have a material adverse effect on our business, financial condition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2"/>
          <w:szCs w:val="12"/>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4. Mine Safety Disclosures</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right"/>
        <w:ind w:right="4439"/>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139"/>
          </w:cols>
          <w:pgMar w:left="320" w:top="120" w:right="1440"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2"/>
          <w:szCs w:val="12"/>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5"/>
          <w:szCs w:val="15"/>
          <w:b w:val="1"/>
          <w:bCs w:val="1"/>
          <w:color w:val="auto"/>
        </w:rPr>
        <w:t>PART II</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5. Market for Registrant’s Common Equity, Related Stockholder Matters and Issuer Purchases of Equity Securities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Market Information for Common Stock</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Our common stock trades under the symbol "SGRY" on the Nasdaq Global Select Market.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Stockholders</w:t>
      </w:r>
    </w:p>
    <w:p>
      <w:pPr>
        <w:spacing w:after="0" w:line="115" w:lineRule="exact"/>
        <w:rPr>
          <w:sz w:val="20"/>
          <w:szCs w:val="20"/>
          <w:color w:val="auto"/>
        </w:rPr>
      </w:pPr>
    </w:p>
    <w:p>
      <w:pPr>
        <w:jc w:val="both"/>
        <w:ind w:firstLine="309"/>
        <w:spacing w:after="0" w:line="279" w:lineRule="auto"/>
        <w:rPr>
          <w:sz w:val="20"/>
          <w:szCs w:val="20"/>
          <w:color w:val="auto"/>
        </w:rPr>
      </w:pPr>
      <w:r>
        <w:rPr>
          <w:rFonts w:ascii="Times New Roman" w:cs="Times New Roman" w:eastAsia="Times New Roman" w:hAnsi="Times New Roman"/>
          <w:sz w:val="15"/>
          <w:szCs w:val="15"/>
          <w:color w:val="auto"/>
        </w:rPr>
        <w:t>As of February 23, 2026, there were 201 holders of record of our common stock. The actual number of common stockholders is greater than the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Dividends</w:t>
      </w:r>
    </w:p>
    <w:p>
      <w:pPr>
        <w:spacing w:after="0" w:line="128" w:lineRule="exact"/>
        <w:rPr>
          <w:sz w:val="20"/>
          <w:szCs w:val="20"/>
          <w:color w:val="auto"/>
        </w:rPr>
      </w:pPr>
    </w:p>
    <w:p>
      <w:pPr>
        <w:jc w:val="both"/>
        <w:ind w:firstLine="309"/>
        <w:spacing w:after="0" w:line="265" w:lineRule="auto"/>
        <w:rPr>
          <w:sz w:val="20"/>
          <w:szCs w:val="20"/>
          <w:color w:val="auto"/>
        </w:rPr>
      </w:pPr>
      <w:r>
        <w:rPr>
          <w:rFonts w:ascii="Times New Roman" w:cs="Times New Roman" w:eastAsia="Times New Roman" w:hAnsi="Times New Roman"/>
          <w:sz w:val="15"/>
          <w:szCs w:val="15"/>
          <w:color w:val="auto"/>
        </w:rPr>
        <w:t>We have never declared or paid a cash dividend on our common stock, and we have no current plans to declare or pay any cash dividends for the foreseeable future. Any decision to declare and pay dividends in the future will be made at the discretion of our Board of Directors and will depend on, among other things, our results of operations, financial condition, cash requirements, contractual restrictions and other factors that our Board of Directors may deem relevant. In addition, our ability to pay dividends may be limited by covenants of our or our subsidiaries' existing or future indebtedness, including our Secured Credit Facilities. Additionally, because we are a holding company, we would depend on distributions from our subsidiaries to fund any potential dividends.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Stock Performance Graph</w:t>
      </w:r>
    </w:p>
    <w:p>
      <w:pPr>
        <w:spacing w:after="0" w:line="115" w:lineRule="exact"/>
        <w:rPr>
          <w:sz w:val="20"/>
          <w:szCs w:val="20"/>
          <w:color w:val="auto"/>
        </w:rPr>
      </w:pPr>
    </w:p>
    <w:p>
      <w:pPr>
        <w:jc w:val="both"/>
        <w:ind w:firstLine="309"/>
        <w:spacing w:after="0" w:line="279" w:lineRule="auto"/>
        <w:rPr>
          <w:sz w:val="20"/>
          <w:szCs w:val="20"/>
          <w:color w:val="auto"/>
        </w:rPr>
      </w:pPr>
      <w:r>
        <w:rPr>
          <w:rFonts w:ascii="Times New Roman" w:cs="Times New Roman" w:eastAsia="Times New Roman" w:hAnsi="Times New Roman"/>
          <w:sz w:val="15"/>
          <w:szCs w:val="15"/>
          <w:color w:val="auto"/>
        </w:rPr>
        <w:t>The following graph compares the cumulative total stockholder return on our common stock with the cumulative total returns of the Nasdaq Composite Index and the Dow Jones U.S. Health Care Providers Index. The graph begins on December 31, 2020, and the comparison assumes $100 was invested in our common stock and in each of the indices on such date and assumes the reinvestment of dividends, if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43180</wp:posOffset>
            </wp:positionV>
            <wp:extent cx="5501005" cy="28816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501005" cy="2881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2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07"/>
              <w:spacing w:after="0"/>
              <w:rPr>
                <w:sz w:val="20"/>
                <w:szCs w:val="20"/>
                <w:color w:val="auto"/>
              </w:rPr>
            </w:pPr>
            <w:r>
              <w:rPr>
                <w:rFonts w:ascii="Times New Roman" w:cs="Times New Roman" w:eastAsia="Times New Roman" w:hAnsi="Times New Roman"/>
                <w:sz w:val="12"/>
                <w:szCs w:val="12"/>
                <w:b w:val="1"/>
                <w:bCs w:val="1"/>
                <w:color w:val="auto"/>
              </w:rPr>
              <w:t>12/31/2020</w:t>
            </w: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27"/>
              <w:spacing w:after="0"/>
              <w:rPr>
                <w:sz w:val="20"/>
                <w:szCs w:val="20"/>
                <w:color w:val="auto"/>
              </w:rPr>
            </w:pPr>
            <w:r>
              <w:rPr>
                <w:rFonts w:ascii="Times New Roman" w:cs="Times New Roman" w:eastAsia="Times New Roman" w:hAnsi="Times New Roman"/>
                <w:sz w:val="12"/>
                <w:szCs w:val="12"/>
                <w:b w:val="1"/>
                <w:bCs w:val="1"/>
                <w:color w:val="auto"/>
              </w:rPr>
              <w:t>12/31/2021</w:t>
            </w: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07"/>
              <w:spacing w:after="0"/>
              <w:rPr>
                <w:sz w:val="20"/>
                <w:szCs w:val="20"/>
                <w:color w:val="auto"/>
              </w:rPr>
            </w:pPr>
            <w:r>
              <w:rPr>
                <w:rFonts w:ascii="Times New Roman" w:cs="Times New Roman" w:eastAsia="Times New Roman" w:hAnsi="Times New Roman"/>
                <w:sz w:val="12"/>
                <w:szCs w:val="12"/>
                <w:b w:val="1"/>
                <w:bCs w:val="1"/>
                <w:color w:val="auto"/>
              </w:rPr>
              <w:t>12/31/2022</w:t>
            </w: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07"/>
              <w:spacing w:after="0"/>
              <w:rPr>
                <w:sz w:val="20"/>
                <w:szCs w:val="20"/>
                <w:color w:val="auto"/>
              </w:rPr>
            </w:pPr>
            <w:r>
              <w:rPr>
                <w:rFonts w:ascii="Times New Roman" w:cs="Times New Roman" w:eastAsia="Times New Roman" w:hAnsi="Times New Roman"/>
                <w:sz w:val="12"/>
                <w:szCs w:val="12"/>
                <w:b w:val="1"/>
                <w:bCs w:val="1"/>
                <w:color w:val="auto"/>
              </w:rPr>
              <w:t>12/31/2023</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27"/>
              <w:spacing w:after="0"/>
              <w:rPr>
                <w:sz w:val="20"/>
                <w:szCs w:val="20"/>
                <w:color w:val="auto"/>
              </w:rPr>
            </w:pPr>
            <w:r>
              <w:rPr>
                <w:rFonts w:ascii="Times New Roman" w:cs="Times New Roman" w:eastAsia="Times New Roman" w:hAnsi="Times New Roman"/>
                <w:sz w:val="12"/>
                <w:szCs w:val="12"/>
                <w:b w:val="1"/>
                <w:bCs w:val="1"/>
                <w:color w:val="auto"/>
              </w:rPr>
              <w:t>12/31/2024</w:t>
            </w: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27"/>
              <w:spacing w:after="0"/>
              <w:rPr>
                <w:sz w:val="20"/>
                <w:szCs w:val="20"/>
                <w:color w:val="auto"/>
              </w:rPr>
            </w:pPr>
            <w:r>
              <w:rPr>
                <w:rFonts w:ascii="Times New Roman" w:cs="Times New Roman" w:eastAsia="Times New Roman" w:hAnsi="Times New Roman"/>
                <w:sz w:val="12"/>
                <w:szCs w:val="12"/>
                <w:b w:val="1"/>
                <w:bCs w:val="1"/>
                <w:color w:val="auto"/>
              </w:rPr>
              <w:t>12/31/2025</w:t>
            </w:r>
          </w:p>
        </w:tc>
      </w:tr>
      <w:tr>
        <w:trPr>
          <w:trHeight w:val="206"/>
        </w:trPr>
        <w:tc>
          <w:tcPr>
            <w:tcW w:w="5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Surgery Partners, Inc.</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100.00</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184.11</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96.04</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110.27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72.97</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53.26</w:t>
            </w:r>
          </w:p>
        </w:tc>
      </w:tr>
      <w:tr>
        <w:trPr>
          <w:trHeight w:val="203"/>
        </w:trPr>
        <w:tc>
          <w:tcPr>
            <w:tcW w:w="52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Nasdaq Composite Index</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100.00</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121.39</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81.21</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116.47</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149.83</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180.33</w:t>
            </w:r>
          </w:p>
        </w:tc>
      </w:tr>
      <w:tr>
        <w:trPr>
          <w:trHeight w:val="209"/>
        </w:trPr>
        <w:tc>
          <w:tcPr>
            <w:tcW w:w="5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Dow Jones U.S. Health Care Providers Index</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100.00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130.55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132.08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126.93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114.17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103.28</w:t>
            </w:r>
          </w:p>
        </w:tc>
      </w:tr>
    </w:tbl>
    <w:p>
      <w:pPr>
        <w:spacing w:after="0" w:line="143" w:lineRule="exact"/>
        <w:rPr>
          <w:sz w:val="20"/>
          <w:szCs w:val="20"/>
          <w:color w:val="auto"/>
        </w:rPr>
      </w:pPr>
    </w:p>
    <w:p>
      <w:pPr>
        <w:jc w:val="both"/>
        <w:ind w:firstLine="309"/>
        <w:spacing w:after="0" w:line="279" w:lineRule="auto"/>
        <w:rPr>
          <w:sz w:val="20"/>
          <w:szCs w:val="20"/>
          <w:color w:val="auto"/>
        </w:rPr>
      </w:pPr>
      <w:r>
        <w:rPr>
          <w:rFonts w:ascii="Times New Roman" w:cs="Times New Roman" w:eastAsia="Times New Roman" w:hAnsi="Times New Roman"/>
          <w:sz w:val="15"/>
          <w:szCs w:val="15"/>
          <w:color w:val="auto"/>
        </w:rPr>
        <w:t>This graph is furnished and not filed with the SEC, is not soliciting material under the Exchange Act and shall not be incorporated by reference into any such filings, irrespective of any general incorporation contained in such filing. The stock performance shown on the graph represents historical stock performance and is not necessarily indicative of future stock price performance.</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2"/>
          <w:szCs w:val="12"/>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Purchases of Equity Securities by the Issuer and Affiliated Purchasers</w:t>
      </w:r>
    </w:p>
    <w:p>
      <w:pPr>
        <w:spacing w:after="0" w:line="115" w:lineRule="exact"/>
        <w:rPr>
          <w:sz w:val="20"/>
          <w:szCs w:val="20"/>
          <w:color w:val="auto"/>
        </w:rPr>
      </w:pPr>
    </w:p>
    <w:p>
      <w:pPr>
        <w:jc w:val="both"/>
        <w:ind w:firstLine="309"/>
        <w:spacing w:after="0" w:line="269" w:lineRule="auto"/>
        <w:rPr>
          <w:sz w:val="20"/>
          <w:szCs w:val="20"/>
          <w:color w:val="auto"/>
        </w:rPr>
      </w:pPr>
      <w:r>
        <w:rPr>
          <w:rFonts w:ascii="Times New Roman" w:cs="Times New Roman" w:eastAsia="Times New Roman" w:hAnsi="Times New Roman"/>
          <w:sz w:val="15"/>
          <w:szCs w:val="15"/>
          <w:color w:val="auto"/>
        </w:rPr>
        <w:t>On December 15, 2017, our Board of Directors authorized a share repurchase program of up to $50.0 million of our issued and outstanding common stock from time to time. The authorization does not have a specified expiration date, and the share repurchase program may be suspended, recommenced or discontinued at any time or from time to time without prior notice. The Company did not repurchase any shares of common stock during the three months ended December 31, 2025. At December 31, 2025, the Company continued to have authority to repurchase up to $46.0 million of shares of common stock under the share repurchase program. The authorization does not obligate us to repurchase any shares, and we do not intend to make further repurchases under this program.</w:t>
      </w:r>
    </w:p>
    <w:p>
      <w:pPr>
        <w:spacing w:after="0" w:line="65" w:lineRule="exact"/>
        <w:rPr>
          <w:sz w:val="20"/>
          <w:szCs w:val="20"/>
          <w:color w:val="auto"/>
        </w:rPr>
      </w:pPr>
    </w:p>
    <w:p>
      <w:pPr>
        <w:jc w:val="both"/>
        <w:ind w:firstLine="309"/>
        <w:spacing w:after="0" w:line="307" w:lineRule="auto"/>
        <w:rPr>
          <w:sz w:val="20"/>
          <w:szCs w:val="20"/>
          <w:color w:val="auto"/>
        </w:rPr>
      </w:pPr>
      <w:r>
        <w:rPr>
          <w:rFonts w:ascii="Times New Roman" w:cs="Times New Roman" w:eastAsia="Times New Roman" w:hAnsi="Times New Roman"/>
          <w:sz w:val="15"/>
          <w:szCs w:val="15"/>
          <w:color w:val="auto"/>
        </w:rPr>
        <w:t>On February 26, 2026, our Board of Directors authorized a share repurchase program of up to $200.0 million. The share repurchase program authorized on February 26, 2026 replaced the previous program.</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 xml:space="preserve">Item 6. </w:t>
      </w:r>
      <w:r>
        <w:rPr>
          <w:rFonts w:ascii="Times New Roman" w:cs="Times New Roman" w:eastAsia="Times New Roman" w:hAnsi="Times New Roman"/>
          <w:sz w:val="15"/>
          <w:szCs w:val="15"/>
          <w:b w:val="1"/>
          <w:bCs w:val="1"/>
          <w:i w:val="1"/>
          <w:iCs w:val="1"/>
          <w:color w:val="auto"/>
        </w:rPr>
        <w:t>[Reserved]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7. Management's Discussion and Analysis of Financial Condition and Results of Operations</w:t>
      </w:r>
    </w:p>
    <w:p>
      <w:pPr>
        <w:spacing w:after="0" w:line="115" w:lineRule="exact"/>
        <w:rPr>
          <w:sz w:val="20"/>
          <w:szCs w:val="20"/>
          <w:color w:val="auto"/>
        </w:rPr>
      </w:pPr>
    </w:p>
    <w:p>
      <w:pPr>
        <w:jc w:val="both"/>
        <w:ind w:firstLine="309"/>
        <w:spacing w:after="0" w:line="263" w:lineRule="auto"/>
        <w:rPr>
          <w:sz w:val="20"/>
          <w:szCs w:val="20"/>
          <w:color w:val="auto"/>
        </w:rPr>
      </w:pPr>
      <w:r>
        <w:rPr>
          <w:rFonts w:ascii="Times New Roman" w:cs="Times New Roman" w:eastAsia="Times New Roman" w:hAnsi="Times New Roman"/>
          <w:sz w:val="15"/>
          <w:szCs w:val="15"/>
          <w:color w:val="auto"/>
        </w:rPr>
        <w:t>The following discussion and analysis of our financial condition and results of operations should be read in conjunction with our audited consolidated financial statements and related notes included elsewhere in this Annual Report. This discussion contains forward-looking statements that involve risks and uncertainties. For additional information regarding certain of the risks and uncertainties that affect our business and the industry in which we operate, please see Item 1A. "Risk Factors" and Item 9A. "Controls and Procedures" found elsewhere in this Annual Report. Unless the context otherwise indicates, the terms "Surgery Partners," "we," "us," "our" or the "Company," as used herein, refer to Surgery Partners, Inc. and its subsidiaries. Unless the context implies otherwise, the term "affiliates" means direct and indirect subsidiaries of Surgery Partners, Inc. and partnerships and joint ventures in which such subsidiaries are partners. The terms "facilities" or "hospitals" refer to entities owned and operated by affiliates of Surgery Partners, Inc. and the term "employees" refers to employees of affiliates of Surgery Partners, Inc.</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Executive Overview</w:t>
      </w:r>
    </w:p>
    <w:p>
      <w:pPr>
        <w:spacing w:after="0" w:line="115" w:lineRule="exact"/>
        <w:rPr>
          <w:sz w:val="20"/>
          <w:szCs w:val="20"/>
          <w:color w:val="auto"/>
        </w:rPr>
      </w:pPr>
    </w:p>
    <w:p>
      <w:pPr>
        <w:jc w:val="both"/>
        <w:ind w:firstLine="309"/>
        <w:spacing w:after="0" w:line="289" w:lineRule="auto"/>
        <w:rPr>
          <w:sz w:val="20"/>
          <w:szCs w:val="20"/>
          <w:color w:val="auto"/>
        </w:rPr>
      </w:pPr>
      <w:r>
        <w:rPr>
          <w:rFonts w:ascii="Times New Roman" w:cs="Times New Roman" w:eastAsia="Times New Roman" w:hAnsi="Times New Roman"/>
          <w:sz w:val="15"/>
          <w:szCs w:val="15"/>
          <w:color w:val="auto"/>
        </w:rPr>
        <w:t>As of December 31, 2025, we owned or operated, primarily in partnership with physicians, a portfolio of 176 surgical facilities comprised of 157 ASCs and 19 surgical hospitals across 30 states. We owned a majority interest in 90 of the surgical facilities and consolidated 121 of these facilities for financial reporting purposes.</w:t>
      </w:r>
    </w:p>
    <w:p>
      <w:pPr>
        <w:spacing w:after="0" w:line="62" w:lineRule="exact"/>
        <w:rPr>
          <w:sz w:val="20"/>
          <w:szCs w:val="20"/>
          <w:color w:val="auto"/>
        </w:rPr>
      </w:pPr>
    </w:p>
    <w:p>
      <w:pPr>
        <w:jc w:val="both"/>
        <w:ind w:firstLine="309"/>
        <w:spacing w:after="0" w:line="266" w:lineRule="auto"/>
        <w:rPr>
          <w:sz w:val="20"/>
          <w:szCs w:val="20"/>
          <w:color w:val="auto"/>
        </w:rPr>
      </w:pPr>
      <w:r>
        <w:rPr>
          <w:rFonts w:ascii="Times New Roman" w:cs="Times New Roman" w:eastAsia="Times New Roman" w:hAnsi="Times New Roman"/>
          <w:sz w:val="15"/>
          <w:szCs w:val="15"/>
          <w:color w:val="auto"/>
        </w:rPr>
        <w:t>Total revenues for 2025 increased 6.2% to $3.3 billion from $3.1 billion in 2024. The increase in revenues was attributable to same-facility revenue growth and the net impact from acquisitions and divestitures completed in 2025. Days adjusted same-facility revenues for 2025 increased 4.9% from 2024, with a 1.4% increase in revenue per case and a 3.4% increase in same-facility cases. Additionally, for 2025, net loss attributable to Surgery Partners, Inc. was $77.9 million compared to $168.1 million for 2024. For 2025, Adjusted EBITDA increased 3.5% to $526.2 million compared to $508.2 million for 2024. The increase in Adjusted EBITDA was primarily attributable to revenue growth, continued cost management initiatives and acquisitions completed since the prior year. A reconciliation of non-GAAP financial measures appears below under the heading "Certain Non-GAAP Measures."</w:t>
      </w:r>
    </w:p>
    <w:p>
      <w:pPr>
        <w:spacing w:after="0" w:line="256" w:lineRule="exact"/>
        <w:rPr>
          <w:sz w:val="20"/>
          <w:szCs w:val="20"/>
          <w:color w:val="auto"/>
        </w:rPr>
      </w:pPr>
    </w:p>
    <w:p>
      <w:pPr>
        <w:jc w:val="both"/>
        <w:ind w:firstLine="309"/>
        <w:spacing w:after="0" w:line="279" w:lineRule="auto"/>
        <w:rPr>
          <w:sz w:val="20"/>
          <w:szCs w:val="20"/>
          <w:color w:val="auto"/>
        </w:rPr>
      </w:pPr>
      <w:r>
        <w:rPr>
          <w:rFonts w:ascii="Times New Roman" w:cs="Times New Roman" w:eastAsia="Times New Roman" w:hAnsi="Times New Roman"/>
          <w:sz w:val="15"/>
          <w:szCs w:val="15"/>
          <w:color w:val="auto"/>
        </w:rPr>
        <w:t>We continue to focus on improving our same-facility performance, selectively acquiring established facilities, developing new facilities and pursuing other portfolio management initiatives. During 2025, we acquired a controlling interest in twelve surgical facilities and several physician practices and other ancillary businesses for aggregate cash consideration of $162.1 million, net of cash acquired.</w:t>
      </w:r>
    </w:p>
    <w:p>
      <w:pPr>
        <w:spacing w:after="0" w:line="5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We had cash and cash equivalents of $239.9 million and $692.8 million of borrowing capacity under the Revolver as of December 31, 2025.</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Recent Legislation</w:t>
      </w:r>
    </w:p>
    <w:p>
      <w:pPr>
        <w:spacing w:after="0" w:line="115" w:lineRule="exact"/>
        <w:rPr>
          <w:sz w:val="20"/>
          <w:szCs w:val="20"/>
          <w:color w:val="auto"/>
        </w:rPr>
      </w:pPr>
    </w:p>
    <w:p>
      <w:pPr>
        <w:jc w:val="both"/>
        <w:ind w:firstLine="309"/>
        <w:spacing w:after="0" w:line="279" w:lineRule="auto"/>
        <w:rPr>
          <w:sz w:val="20"/>
          <w:szCs w:val="20"/>
          <w:color w:val="auto"/>
        </w:rPr>
      </w:pPr>
      <w:r>
        <w:rPr>
          <w:rFonts w:ascii="Times New Roman" w:cs="Times New Roman" w:eastAsia="Times New Roman" w:hAnsi="Times New Roman"/>
          <w:sz w:val="15"/>
          <w:szCs w:val="15"/>
          <w:color w:val="auto"/>
        </w:rPr>
        <w:t>On July 4, 2025, Congress passed the One Big Beautiful Bill Act (the “OBBBA”), which introduced significant changes to federally funded healthcare programs, including Medicaid, Medicare, and the Affordable Care Act. While such changes are projected to reduce overall healthcare spending and increase regulatory burdens in certain jurisdictions in which the Company operates, they are not expected to materially impact the Company's financial statements.</w:t>
      </w:r>
    </w:p>
    <w:p>
      <w:pPr>
        <w:spacing w:after="0" w:line="5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The OBBBA also makes permanent key elements of the Tax Cuts and Jobs Act including, among others, 100% bonus depreciation and the business interest expense limitations.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Company’s tax provision for the year ended December 31, 2025, incorporates the effects of these tax law changes.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Revenues</w:t>
      </w:r>
    </w:p>
    <w:p>
      <w:pPr>
        <w:spacing w:after="0" w:line="115" w:lineRule="exact"/>
        <w:rPr>
          <w:sz w:val="20"/>
          <w:szCs w:val="20"/>
          <w:color w:val="auto"/>
        </w:rPr>
      </w:pPr>
    </w:p>
    <w:p>
      <w:pPr>
        <w:jc w:val="both"/>
        <w:ind w:firstLine="309"/>
        <w:spacing w:after="0" w:line="275" w:lineRule="auto"/>
        <w:rPr>
          <w:sz w:val="20"/>
          <w:szCs w:val="20"/>
          <w:color w:val="auto"/>
        </w:rPr>
      </w:pPr>
      <w:r>
        <w:rPr>
          <w:rFonts w:ascii="Times New Roman" w:cs="Times New Roman" w:eastAsia="Times New Roman" w:hAnsi="Times New Roman"/>
          <w:sz w:val="15"/>
          <w:szCs w:val="15"/>
          <w:color w:val="auto"/>
        </w:rPr>
        <w:t>Our revenues consist of patient service revenues and other service revenues. Patient service revenues consist of revenue from our Surgical Facilities reportable segment. Specifically, patient service revenues include fees for surgical or diagnostic procedures performed at surgical facilities that we consolidate for financial reporting purposes, as well as for patient visits to our physician practices, anesthesia services, pharmacy services and diagnostic screens ordered by our physicians. Other service revenues include management and administrative service fees derived from our non-consolidated facilities that we account for under the equity method, management of</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2"/>
          <w:szCs w:val="12"/>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5"/>
          <w:szCs w:val="15"/>
          <w:color w:val="auto"/>
        </w:rPr>
        <w:t>surgical facilities and physician practices in which we do not own an interest, management services we provide to physician practices for which we are not required to provide capital or additional assets and other non-patient services.</w:t>
      </w:r>
    </w:p>
    <w:p>
      <w:pPr>
        <w:sectPr>
          <w:pgSz w:w="11900" w:h="16838" w:orient="portrait"/>
          <w:cols w:equalWidth="0" w:num="1">
            <w:col w:w="11240"/>
          </w:cols>
          <w:pgMar w:left="320" w:top="120" w:right="339" w:bottom="1440" w:gutter="0" w:footer="0" w:header="0"/>
        </w:sectPr>
      </w:pPr>
    </w:p>
    <w:p>
      <w:pPr>
        <w:spacing w:after="0" w:line="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The following table summarizes revenues by service type as a percentage of total revenues: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Patient service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-106680</wp:posOffset>
            </wp:positionV>
            <wp:extent cx="7122160" cy="1308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22160" cy="130810"/>
                    </a:xfrm>
                    <a:prstGeom prst="rect">
                      <a:avLst/>
                    </a:prstGeom>
                    <a:noFill/>
                  </pic:spPr>
                </pic:pic>
              </a:graphicData>
            </a:graphic>
          </wp:anchor>
        </w:drawing>
      </w:r>
    </w:p>
    <w:p>
      <w:pPr>
        <w:spacing w:after="0" w:line="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Patient service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20955</wp:posOffset>
            </wp:positionV>
            <wp:extent cx="7122160" cy="1308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22160" cy="130810"/>
                    </a:xfrm>
                    <a:prstGeom prst="rect">
                      <a:avLst/>
                    </a:prstGeom>
                    <a:noFill/>
                  </pic:spPr>
                </pic:pic>
              </a:graphicData>
            </a:graphic>
          </wp:anchor>
        </w:drawing>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Other service revenues</w:t>
      </w:r>
    </w:p>
    <w:p>
      <w:pPr>
        <w:spacing w:after="0" w:line="7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Total revenues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Payor Mix</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9"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1500" w:type="dxa"/>
            <w:vAlign w:val="bottom"/>
            <w:tcBorders>
              <w:top w:val="single" w:sz="8" w:color="auto"/>
              <w:bottom w:val="single" w:sz="8" w:color="auto"/>
            </w:tcBorders>
          </w:tcPr>
          <w:p>
            <w:pPr>
              <w:jc w:val="right"/>
              <w:ind w:right="52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17"/>
                <w:szCs w:val="17"/>
                <w:color w:val="auto"/>
              </w:rPr>
            </w:pPr>
          </w:p>
        </w:tc>
        <w:tc>
          <w:tcPr>
            <w:tcW w:w="1480" w:type="dxa"/>
            <w:vAlign w:val="bottom"/>
            <w:tcBorders>
              <w:top w:val="single" w:sz="8" w:color="auto"/>
              <w:bottom w:val="single" w:sz="8" w:color="auto"/>
            </w:tcBorders>
          </w:tcPr>
          <w:p>
            <w:pPr>
              <w:jc w:val="right"/>
              <w:ind w:right="52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7"/>
                <w:szCs w:val="17"/>
                <w:color w:val="auto"/>
              </w:rPr>
            </w:pPr>
          </w:p>
        </w:tc>
        <w:tc>
          <w:tcPr>
            <w:tcW w:w="1500" w:type="dxa"/>
            <w:vAlign w:val="bottom"/>
            <w:tcBorders>
              <w:top w:val="single" w:sz="8" w:color="auto"/>
              <w:bottom w:val="single" w:sz="8" w:color="auto"/>
            </w:tcBorders>
          </w:tcPr>
          <w:p>
            <w:pPr>
              <w:jc w:val="right"/>
              <w:ind w:right="54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92"/>
        </w:trPr>
        <w:tc>
          <w:tcPr>
            <w:tcW w:w="1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97.5 %</w:t>
            </w:r>
          </w:p>
        </w:tc>
        <w:tc>
          <w:tcPr>
            <w:tcW w:w="10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98.1 %</w:t>
            </w:r>
          </w:p>
        </w:tc>
        <w:tc>
          <w:tcPr>
            <w:tcW w:w="10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98.4 %</w:t>
            </w:r>
          </w:p>
        </w:tc>
      </w:tr>
      <w:tr>
        <w:trPr>
          <w:trHeight w:val="209"/>
        </w:trPr>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2.5 %</w:t>
            </w:r>
          </w:p>
        </w:tc>
        <w:tc>
          <w:tcPr>
            <w:tcW w:w="10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1.9 %</w:t>
            </w:r>
          </w:p>
        </w:tc>
        <w:tc>
          <w:tcPr>
            <w:tcW w:w="100" w:type="dxa"/>
            <w:vAlign w:val="bottom"/>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1.6 %</w:t>
            </w:r>
          </w:p>
        </w:tc>
      </w:tr>
      <w:tr>
        <w:trPr>
          <w:trHeight w:val="199"/>
        </w:trPr>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100.0 %</w:t>
            </w:r>
          </w:p>
        </w:tc>
        <w:tc>
          <w:tcPr>
            <w:tcW w:w="100" w:type="dxa"/>
            <w:vAlign w:val="bottom"/>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100.0 %</w:t>
            </w:r>
          </w:p>
        </w:tc>
        <w:tc>
          <w:tcPr>
            <w:tcW w:w="100" w:type="dxa"/>
            <w:vAlign w:val="bottom"/>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100.0 %</w:t>
            </w:r>
          </w:p>
        </w:tc>
      </w:tr>
      <w:tr>
        <w:trPr>
          <w:trHeight w:val="21"/>
        </w:trPr>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439" w:lineRule="exact"/>
        <w:rPr>
          <w:sz w:val="20"/>
          <w:szCs w:val="20"/>
          <w:color w:val="auto"/>
        </w:rPr>
      </w:pPr>
    </w:p>
    <w:p>
      <w:pPr>
        <w:sectPr>
          <w:pgSz w:w="11900" w:h="16838" w:orient="portrait"/>
          <w:cols w:equalWidth="0" w:num="2">
            <w:col w:w="5980" w:space="580"/>
            <w:col w:w="4680"/>
          </w:cols>
          <w:pgMar w:left="320" w:top="120" w:right="339" w:bottom="1440" w:gutter="0" w:footer="0" w:header="0"/>
          <w:type w:val="continuous"/>
        </w:sectPr>
      </w:pPr>
    </w:p>
    <w:p>
      <w:pPr>
        <w:ind w:firstLine="309"/>
        <w:spacing w:after="0" w:line="273" w:lineRule="auto"/>
        <w:rPr>
          <w:sz w:val="20"/>
          <w:szCs w:val="20"/>
          <w:color w:val="auto"/>
        </w:rPr>
      </w:pPr>
      <w:r>
        <w:rPr>
          <w:rFonts w:ascii="Times New Roman" w:cs="Times New Roman" w:eastAsia="Times New Roman" w:hAnsi="Times New Roman"/>
          <w:sz w:val="15"/>
          <w:szCs w:val="15"/>
          <w:color w:val="auto"/>
        </w:rPr>
        <w:t>The following table sets forth by type of payor the percentage of our patient service revenues generated at the surgical facilities that we consolidate for financial reporting purposes:</w:t>
      </w:r>
    </w:p>
    <w:p>
      <w:pPr>
        <w:spacing w:after="0" w:line="397" w:lineRule="exact"/>
        <w:rPr>
          <w:sz w:val="20"/>
          <w:szCs w:val="20"/>
          <w:color w:val="auto"/>
        </w:rPr>
      </w:pPr>
    </w:p>
    <w:p>
      <w:pPr>
        <w:ind w:left="812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4" w:lineRule="exact"/>
        <w:rPr>
          <w:sz w:val="20"/>
          <w:szCs w:val="20"/>
          <w:color w:val="auto"/>
        </w:rPr>
      </w:pPr>
    </w:p>
    <w:tbl>
      <w:tblPr>
        <w:tblLayout w:type="fixed"/>
        <w:tblInd w:w="20" w:type="dxa"/>
        <w:tblCellMar>
          <w:top w:w="0" w:type="dxa"/>
          <w:left w:w="0" w:type="dxa"/>
          <w:bottom w:w="0" w:type="dxa"/>
          <w:right w:w="0" w:type="dxa"/>
        </w:tblCellMar>
      </w:tblPr>
      <w:tr>
        <w:trPr>
          <w:trHeight w:val="201"/>
        </w:trPr>
        <w:tc>
          <w:tcPr>
            <w:tcW w:w="6520" w:type="dxa"/>
            <w:vAlign w:val="bottom"/>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0" w:type="dxa"/>
            <w:vAlign w:val="bottom"/>
            <w:tcBorders>
              <w:top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jc w:val="right"/>
              <w:ind w:right="54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40"/>
        </w:trPr>
        <w:tc>
          <w:tcPr>
            <w:tcW w:w="652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tcBorders>
              <w:top w:val="single" w:sz="8" w:color="auto"/>
            </w:tcBorders>
          </w:tcPr>
          <w:p>
            <w:pPr>
              <w:spacing w:after="0"/>
              <w:rPr>
                <w:sz w:val="12"/>
                <w:szCs w:val="12"/>
                <w:color w:val="auto"/>
              </w:rPr>
            </w:pPr>
          </w:p>
        </w:tc>
      </w:tr>
      <w:tr>
        <w:trPr>
          <w:trHeight w:val="206"/>
        </w:trPr>
        <w:tc>
          <w:tcPr>
            <w:tcW w:w="7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Private insurance payors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52.3 %</w:t>
            </w: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53.5 %</w:t>
            </w:r>
          </w:p>
        </w:tc>
        <w:tc>
          <w:tcPr>
            <w:tcW w:w="8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52.5 %</w:t>
            </w:r>
          </w:p>
        </w:tc>
      </w:tr>
      <w:tr>
        <w:trPr>
          <w:trHeight w:val="203"/>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Government payors</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42.8 %</w:t>
            </w: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41.1 %</w:t>
            </w:r>
          </w:p>
        </w:tc>
        <w:tc>
          <w:tcPr>
            <w:tcW w:w="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41.8 %</w:t>
            </w:r>
          </w:p>
        </w:tc>
      </w:tr>
      <w:tr>
        <w:trPr>
          <w:trHeight w:val="209"/>
        </w:trPr>
        <w:tc>
          <w:tcPr>
            <w:tcW w:w="7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Self-pay payors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2.7 %</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2.7 %</w:t>
            </w:r>
          </w:p>
        </w:tc>
        <w:tc>
          <w:tcPr>
            <w:tcW w:w="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2.5 %</w:t>
            </w:r>
          </w:p>
        </w:tc>
      </w:tr>
      <w:tr>
        <w:trPr>
          <w:trHeight w:val="206"/>
        </w:trPr>
        <w:tc>
          <w:tcPr>
            <w:tcW w:w="6520" w:type="dxa"/>
            <w:vAlign w:val="bottom"/>
            <w:tcBorders>
              <w:bottom w:val="single" w:sz="8" w:color="CCEEFF"/>
            </w:tcBorders>
          </w:tcPr>
          <w:p>
            <w:pPr>
              <w:ind w:left="20"/>
              <w:spacing w:after="0" w:line="207" w:lineRule="exact"/>
              <w:rPr>
                <w:sz w:val="20"/>
                <w:szCs w:val="20"/>
                <w:color w:val="auto"/>
              </w:rPr>
            </w:pPr>
            <w:r>
              <w:rPr>
                <w:rFonts w:ascii="Times New Roman" w:cs="Times New Roman" w:eastAsia="Times New Roman" w:hAnsi="Times New Roman"/>
                <w:sz w:val="15"/>
                <w:szCs w:val="15"/>
                <w:color w:val="auto"/>
              </w:rPr>
              <w:t xml:space="preserve">Other payors </w:t>
            </w:r>
            <w:r>
              <w:rPr>
                <w:rFonts w:ascii="Times New Roman" w:cs="Times New Roman" w:eastAsia="Times New Roman" w:hAnsi="Times New Roman"/>
                <w:sz w:val="20"/>
                <w:szCs w:val="20"/>
                <w:color w:val="auto"/>
                <w:vertAlign w:val="superscript"/>
              </w:rPr>
              <w:t>(1)</w:t>
            </w:r>
          </w:p>
        </w:tc>
        <w:tc>
          <w:tcPr>
            <w:tcW w:w="9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2.2 %</w:t>
            </w:r>
          </w:p>
        </w:tc>
        <w:tc>
          <w:tcPr>
            <w:tcW w:w="8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2.7 %</w:t>
            </w:r>
          </w:p>
        </w:tc>
        <w:tc>
          <w:tcPr>
            <w:tcW w:w="80" w:type="dxa"/>
            <w:vAlign w:val="bottom"/>
            <w:tcBorders>
              <w:bottom w:val="single" w:sz="8" w:color="CCEEFF"/>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3.2 %</w:t>
            </w:r>
          </w:p>
        </w:tc>
      </w:tr>
      <w:tr>
        <w:trPr>
          <w:trHeight w:val="219"/>
        </w:trPr>
        <w:tc>
          <w:tcPr>
            <w:tcW w:w="74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Total</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100.0 %</w:t>
            </w: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100.0 %</w:t>
            </w: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100.0 %</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  Comprised of automobile liability, letters of protection and other payor types.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Surgical Case Mix</w:t>
      </w:r>
    </w:p>
    <w:p>
      <w:pPr>
        <w:spacing w:after="0" w:line="128" w:lineRule="exact"/>
        <w:rPr>
          <w:sz w:val="20"/>
          <w:szCs w:val="20"/>
          <w:color w:val="auto"/>
        </w:rPr>
      </w:pPr>
    </w:p>
    <w:p>
      <w:pPr>
        <w:jc w:val="both"/>
        <w:ind w:firstLine="309"/>
        <w:spacing w:after="0" w:line="289" w:lineRule="auto"/>
        <w:rPr>
          <w:sz w:val="20"/>
          <w:szCs w:val="20"/>
          <w:color w:val="auto"/>
        </w:rPr>
      </w:pPr>
      <w:r>
        <w:rPr>
          <w:rFonts w:ascii="Times New Roman" w:cs="Times New Roman" w:eastAsia="Times New Roman" w:hAnsi="Times New Roman"/>
          <w:sz w:val="15"/>
          <w:szCs w:val="15"/>
          <w:color w:val="auto"/>
        </w:rPr>
        <w:t>We primarily operate multi-specialty surgical facilities where physicians perform a variety of procedures in various specialties. We believe this diversification helps to protect us from adverse pricing and utilization trends in any individual procedure type and results in greater consistency in our case volume.</w:t>
      </w:r>
    </w:p>
    <w:p>
      <w:pPr>
        <w:spacing w:after="0" w:line="49" w:lineRule="exact"/>
        <w:rPr>
          <w:sz w:val="20"/>
          <w:szCs w:val="20"/>
          <w:color w:val="auto"/>
        </w:rPr>
      </w:pPr>
    </w:p>
    <w:p>
      <w:pPr>
        <w:jc w:val="both"/>
        <w:ind w:firstLine="309"/>
        <w:spacing w:after="0" w:line="307" w:lineRule="auto"/>
        <w:rPr>
          <w:sz w:val="20"/>
          <w:szCs w:val="20"/>
          <w:color w:val="auto"/>
        </w:rPr>
      </w:pPr>
      <w:r>
        <w:rPr>
          <w:rFonts w:ascii="Times New Roman" w:cs="Times New Roman" w:eastAsia="Times New Roman" w:hAnsi="Times New Roman"/>
          <w:sz w:val="15"/>
          <w:szCs w:val="15"/>
          <w:color w:val="auto"/>
        </w:rPr>
        <w:t>The following table sets forth the percentage of cases in each specialty performed at the surgical facilities that we consolidate for financial reporting purposes for the periods indicated:</w:t>
      </w:r>
    </w:p>
    <w:p>
      <w:pPr>
        <w:spacing w:after="0" w:line="152" w:lineRule="exact"/>
        <w:rPr>
          <w:sz w:val="20"/>
          <w:szCs w:val="20"/>
          <w:color w:val="auto"/>
        </w:rPr>
      </w:pPr>
    </w:p>
    <w:p>
      <w:pPr>
        <w:ind w:left="812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4" w:lineRule="exact"/>
        <w:rPr>
          <w:sz w:val="20"/>
          <w:szCs w:val="20"/>
          <w:color w:val="auto"/>
        </w:rPr>
      </w:pPr>
    </w:p>
    <w:tbl>
      <w:tblPr>
        <w:tblLayout w:type="fixed"/>
        <w:tblInd w:w="20" w:type="dxa"/>
        <w:tblCellMar>
          <w:top w:w="0" w:type="dxa"/>
          <w:left w:w="0" w:type="dxa"/>
          <w:bottom w:w="0" w:type="dxa"/>
          <w:right w:w="0" w:type="dxa"/>
        </w:tblCellMar>
      </w:tblPr>
      <w:tr>
        <w:trPr>
          <w:trHeight w:val="201"/>
        </w:trPr>
        <w:tc>
          <w:tcPr>
            <w:tcW w:w="6520" w:type="dxa"/>
            <w:vAlign w:val="bottom"/>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0" w:type="dxa"/>
            <w:vAlign w:val="bottom"/>
            <w:tcBorders>
              <w:top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jc w:val="right"/>
              <w:ind w:right="54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40"/>
        </w:trPr>
        <w:tc>
          <w:tcPr>
            <w:tcW w:w="652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tcBorders>
              <w:top w:val="single" w:sz="8" w:color="auto"/>
            </w:tcBorders>
          </w:tcPr>
          <w:p>
            <w:pPr>
              <w:spacing w:after="0"/>
              <w:rPr>
                <w:sz w:val="12"/>
                <w:szCs w:val="12"/>
                <w:color w:val="auto"/>
              </w:rPr>
            </w:pPr>
          </w:p>
        </w:tc>
      </w:tr>
      <w:tr>
        <w:trPr>
          <w:trHeight w:val="206"/>
        </w:trPr>
        <w:tc>
          <w:tcPr>
            <w:tcW w:w="7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Orthopedics and pain management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40.7 %</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40.2 %</w:t>
            </w:r>
          </w:p>
        </w:tc>
        <w:tc>
          <w:tcPr>
            <w:tcW w:w="8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36.1 %</w:t>
            </w:r>
          </w:p>
        </w:tc>
      </w:tr>
      <w:tr>
        <w:trPr>
          <w:trHeight w:val="203"/>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Ophthalmology</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21.7 %</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23.3 %</w:t>
            </w:r>
          </w:p>
        </w:tc>
        <w:tc>
          <w:tcPr>
            <w:tcW w:w="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24.4 %</w:t>
            </w:r>
          </w:p>
        </w:tc>
      </w:tr>
      <w:tr>
        <w:trPr>
          <w:trHeight w:val="209"/>
        </w:trPr>
        <w:tc>
          <w:tcPr>
            <w:tcW w:w="7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Gastrointestinal</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24.4 %</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22.6 %</w:t>
            </w:r>
          </w:p>
        </w:tc>
        <w:tc>
          <w:tcPr>
            <w:tcW w:w="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23.7 %</w:t>
            </w:r>
          </w:p>
        </w:tc>
      </w:tr>
      <w:tr>
        <w:trPr>
          <w:trHeight w:val="203"/>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General surgery</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1.9 %</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2.3 %</w:t>
            </w:r>
          </w:p>
        </w:tc>
        <w:tc>
          <w:tcPr>
            <w:tcW w:w="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2.6 %</w:t>
            </w:r>
          </w:p>
        </w:tc>
      </w:tr>
      <w:tr>
        <w:trPr>
          <w:trHeight w:val="206"/>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Other</w:t>
            </w:r>
          </w:p>
        </w:tc>
        <w:tc>
          <w:tcPr>
            <w:tcW w:w="92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11.3 %</w:t>
            </w:r>
          </w:p>
        </w:tc>
        <w:tc>
          <w:tcPr>
            <w:tcW w:w="100" w:type="dxa"/>
            <w:vAlign w:val="bottom"/>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11.6 %</w:t>
            </w:r>
          </w:p>
        </w:tc>
        <w:tc>
          <w:tcPr>
            <w:tcW w:w="80" w:type="dxa"/>
            <w:vAlign w:val="bottom"/>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13.2 %</w:t>
            </w:r>
          </w:p>
        </w:tc>
      </w:tr>
      <w:tr>
        <w:trPr>
          <w:trHeight w:val="202"/>
        </w:trPr>
        <w:tc>
          <w:tcPr>
            <w:tcW w:w="7440" w:type="dxa"/>
            <w:vAlign w:val="bottom"/>
            <w:gridSpan w:val="2"/>
          </w:tcPr>
          <w:p>
            <w:pPr>
              <w:ind w:left="220"/>
              <w:spacing w:after="0"/>
              <w:rPr>
                <w:sz w:val="20"/>
                <w:szCs w:val="20"/>
                <w:color w:val="auto"/>
              </w:rPr>
            </w:pPr>
            <w:r>
              <w:rPr>
                <w:rFonts w:ascii="Times New Roman" w:cs="Times New Roman" w:eastAsia="Times New Roman" w:hAnsi="Times New Roman"/>
                <w:sz w:val="15"/>
                <w:szCs w:val="15"/>
                <w:color w:val="auto"/>
              </w:rPr>
              <w:t>Total</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100.0 %</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100.0 %</w:t>
            </w:r>
          </w:p>
        </w:tc>
        <w:tc>
          <w:tcPr>
            <w:tcW w:w="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100.0 %</w:t>
            </w:r>
          </w:p>
        </w:tc>
      </w:tr>
      <w:tr>
        <w:trPr>
          <w:trHeight w:val="20"/>
        </w:trPr>
        <w:tc>
          <w:tcPr>
            <w:tcW w:w="65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2"/>
          <w:szCs w:val="12"/>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Segment Information</w:t>
      </w:r>
    </w:p>
    <w:p>
      <w:pPr>
        <w:spacing w:after="0" w:line="115" w:lineRule="exact"/>
        <w:rPr>
          <w:sz w:val="20"/>
          <w:szCs w:val="20"/>
          <w:color w:val="auto"/>
        </w:rPr>
      </w:pPr>
    </w:p>
    <w:p>
      <w:pPr>
        <w:jc w:val="both"/>
        <w:ind w:firstLine="309"/>
        <w:spacing w:after="0" w:line="279" w:lineRule="auto"/>
        <w:rPr>
          <w:sz w:val="20"/>
          <w:szCs w:val="20"/>
          <w:color w:val="auto"/>
        </w:rPr>
      </w:pPr>
      <w:r>
        <w:rPr>
          <w:rFonts w:ascii="Times New Roman" w:cs="Times New Roman" w:eastAsia="Times New Roman" w:hAnsi="Times New Roman"/>
          <w:sz w:val="15"/>
          <w:szCs w:val="15"/>
          <w:color w:val="auto"/>
        </w:rPr>
        <w:t>Our business is comprised of one reportable segment, Surgical Facilities. For more information about the components of the reportable segment, please see Part I, Item 1. "Business-Operations" included elsewhere in this Annual Report. The "All other" line item below primarily consists of amounts attributable to the Company's corporate general and administrative functions.</w:t>
      </w:r>
    </w:p>
    <w:p>
      <w:pPr>
        <w:spacing w:after="0" w:line="6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The following tables present financial information for the reportable segment (in millions):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9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4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2"/>
        </w:trPr>
        <w:tc>
          <w:tcPr>
            <w:tcW w:w="69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81"/>
        </w:trPr>
        <w:tc>
          <w:tcPr>
            <w:tcW w:w="692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bottom w:val="single" w:sz="8" w:color="auto"/>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4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6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2"/>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Revenues:</w:t>
            </w:r>
          </w:p>
        </w:tc>
        <w:tc>
          <w:tcPr>
            <w:tcW w:w="8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203"/>
        </w:trPr>
        <w:tc>
          <w:tcPr>
            <w:tcW w:w="6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Surgical Facilities</w:t>
            </w:r>
          </w:p>
        </w:tc>
        <w:tc>
          <w:tcPr>
            <w:tcW w:w="820" w:type="dxa"/>
            <w:vAlign w:val="bottom"/>
            <w:tcBorders>
              <w:bottom w:val="single" w:sz="8" w:color="auto"/>
            </w:tcBorders>
          </w:tcPr>
          <w:p>
            <w:pPr>
              <w:jc w:val="right"/>
              <w:ind w:right="644"/>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97"/>
              </w:rPr>
              <w:t>3,308.7</w:t>
            </w:r>
          </w:p>
        </w:tc>
        <w:tc>
          <w:tcPr>
            <w:tcW w:w="14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3,114.3</w:t>
            </w:r>
          </w:p>
        </w:tc>
        <w:tc>
          <w:tcPr>
            <w:tcW w:w="16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2,743.3</w:t>
            </w:r>
          </w:p>
        </w:tc>
      </w:tr>
      <w:tr>
        <w:trPr>
          <w:trHeight w:val="222"/>
        </w:trPr>
        <w:tc>
          <w:tcPr>
            <w:tcW w:w="6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Total revenues</w:t>
            </w:r>
          </w:p>
        </w:tc>
        <w:tc>
          <w:tcPr>
            <w:tcW w:w="820" w:type="dxa"/>
            <w:vAlign w:val="bottom"/>
            <w:shd w:val="clear" w:color="auto" w:fill="CCEEFF"/>
          </w:tcPr>
          <w:p>
            <w:pPr>
              <w:jc w:val="right"/>
              <w:ind w:right="644"/>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7"/>
              </w:rPr>
              <w:t>3,308.7</w:t>
            </w:r>
          </w:p>
        </w:tc>
        <w:tc>
          <w:tcPr>
            <w:tcW w:w="460" w:type="dxa"/>
            <w:vAlign w:val="bottom"/>
            <w:gridSpan w:val="2"/>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3,114.3</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2,743.3</w:t>
            </w: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191"/>
        </w:trPr>
        <w:tc>
          <w:tcPr>
            <w:tcW w:w="69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06"/>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Adjusted EBITDA:</w:t>
            </w:r>
          </w:p>
        </w:tc>
        <w:tc>
          <w:tcPr>
            <w:tcW w:w="8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03"/>
        </w:trPr>
        <w:tc>
          <w:tcPr>
            <w:tcW w:w="69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Surgical Facilities</w:t>
            </w:r>
          </w:p>
        </w:tc>
        <w:tc>
          <w:tcPr>
            <w:tcW w:w="820" w:type="dxa"/>
            <w:vAlign w:val="bottom"/>
          </w:tcPr>
          <w:p>
            <w:pPr>
              <w:jc w:val="right"/>
              <w:ind w:right="644"/>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626.7</w:t>
            </w:r>
          </w:p>
        </w:tc>
        <w:tc>
          <w:tcPr>
            <w:tcW w:w="460" w:type="dxa"/>
            <w:vAlign w:val="bottom"/>
            <w:gridSpan w:val="2"/>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610.0</w:t>
            </w:r>
          </w:p>
        </w:tc>
        <w:tc>
          <w:tcPr>
            <w:tcW w:w="160" w:type="dxa"/>
            <w:vAlign w:val="bottom"/>
          </w:tcPr>
          <w:p>
            <w:pPr>
              <w:spacing w:after="0"/>
              <w:rPr>
                <w:sz w:val="17"/>
                <w:szCs w:val="17"/>
                <w:color w:val="auto"/>
              </w:rPr>
            </w:pPr>
          </w:p>
        </w:tc>
        <w:tc>
          <w:tcPr>
            <w:tcW w:w="300" w:type="dxa"/>
            <w:vAlign w:val="bottom"/>
          </w:tcPr>
          <w:p>
            <w:pPr>
              <w:jc w:val="right"/>
              <w:ind w:right="143"/>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534.3</w:t>
            </w:r>
          </w:p>
        </w:tc>
      </w:tr>
      <w:tr>
        <w:trPr>
          <w:trHeight w:val="206"/>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All Other</w:t>
            </w:r>
          </w:p>
        </w:tc>
        <w:tc>
          <w:tcPr>
            <w:tcW w:w="82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(100.5)</w:t>
            </w:r>
          </w:p>
        </w:tc>
        <w:tc>
          <w:tcPr>
            <w:tcW w:w="14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(101.8)</w:t>
            </w:r>
          </w:p>
        </w:tc>
        <w:tc>
          <w:tcPr>
            <w:tcW w:w="16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(96.2)</w:t>
            </w:r>
          </w:p>
        </w:tc>
      </w:tr>
      <w:tr>
        <w:trPr>
          <w:trHeight w:val="202"/>
        </w:trPr>
        <w:tc>
          <w:tcPr>
            <w:tcW w:w="6920" w:type="dxa"/>
            <w:vAlign w:val="bottom"/>
          </w:tcPr>
          <w:p>
            <w:pPr>
              <w:ind w:left="220"/>
              <w:spacing w:after="0" w:line="202" w:lineRule="exact"/>
              <w:rPr>
                <w:sz w:val="20"/>
                <w:szCs w:val="20"/>
                <w:color w:val="auto"/>
              </w:rPr>
            </w:pPr>
            <w:r>
              <w:rPr>
                <w:rFonts w:ascii="Times New Roman" w:cs="Times New Roman" w:eastAsia="Times New Roman" w:hAnsi="Times New Roman"/>
                <w:sz w:val="15"/>
                <w:szCs w:val="15"/>
                <w:color w:val="auto"/>
              </w:rPr>
              <w:t xml:space="preserve">Total Adjusted EBITDA </w:t>
            </w:r>
            <w:r>
              <w:rPr>
                <w:rFonts w:ascii="Times New Roman" w:cs="Times New Roman" w:eastAsia="Times New Roman" w:hAnsi="Times New Roman"/>
                <w:sz w:val="20"/>
                <w:szCs w:val="20"/>
                <w:color w:val="auto"/>
                <w:vertAlign w:val="superscript"/>
              </w:rPr>
              <w:t>(1)</w:t>
            </w:r>
          </w:p>
        </w:tc>
        <w:tc>
          <w:tcPr>
            <w:tcW w:w="820" w:type="dxa"/>
            <w:vAlign w:val="bottom"/>
          </w:tcPr>
          <w:p>
            <w:pPr>
              <w:jc w:val="right"/>
              <w:ind w:right="644"/>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526.2</w:t>
            </w:r>
          </w:p>
        </w:tc>
        <w:tc>
          <w:tcPr>
            <w:tcW w:w="460" w:type="dxa"/>
            <w:vAlign w:val="bottom"/>
            <w:gridSpan w:val="2"/>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508.2</w:t>
            </w:r>
          </w:p>
        </w:tc>
        <w:tc>
          <w:tcPr>
            <w:tcW w:w="160" w:type="dxa"/>
            <w:vAlign w:val="bottom"/>
          </w:tcPr>
          <w:p>
            <w:pPr>
              <w:spacing w:after="0"/>
              <w:rPr>
                <w:sz w:val="17"/>
                <w:szCs w:val="17"/>
                <w:color w:val="auto"/>
              </w:rPr>
            </w:pPr>
          </w:p>
        </w:tc>
        <w:tc>
          <w:tcPr>
            <w:tcW w:w="300" w:type="dxa"/>
            <w:vAlign w:val="bottom"/>
          </w:tcPr>
          <w:p>
            <w:pPr>
              <w:jc w:val="right"/>
              <w:ind w:right="143"/>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438.1</w:t>
            </w:r>
          </w:p>
        </w:tc>
      </w:tr>
      <w:tr>
        <w:trPr>
          <w:trHeight w:val="20"/>
        </w:trPr>
        <w:tc>
          <w:tcPr>
            <w:tcW w:w="692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211"/>
        </w:trPr>
        <w:tc>
          <w:tcPr>
            <w:tcW w:w="69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05"/>
        </w:trPr>
        <w:tc>
          <w:tcPr>
            <w:tcW w:w="692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Depreciation and amortization:</w:t>
            </w:r>
          </w:p>
        </w:tc>
        <w:tc>
          <w:tcPr>
            <w:tcW w:w="8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7"/>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Surgical Facilities</w:t>
            </w:r>
          </w:p>
        </w:tc>
        <w:tc>
          <w:tcPr>
            <w:tcW w:w="820" w:type="dxa"/>
            <w:vAlign w:val="bottom"/>
            <w:shd w:val="clear" w:color="auto" w:fill="CCEEFF"/>
          </w:tcPr>
          <w:p>
            <w:pPr>
              <w:jc w:val="right"/>
              <w:ind w:right="644"/>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164.8</w:t>
            </w:r>
          </w:p>
        </w:tc>
        <w:tc>
          <w:tcPr>
            <w:tcW w:w="460" w:type="dxa"/>
            <w:vAlign w:val="bottom"/>
            <w:gridSpan w:val="2"/>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138.9</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110.8</w:t>
            </w:r>
          </w:p>
        </w:tc>
      </w:tr>
      <w:tr>
        <w:trPr>
          <w:trHeight w:val="203"/>
        </w:trPr>
        <w:tc>
          <w:tcPr>
            <w:tcW w:w="6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All other</w:t>
            </w:r>
          </w:p>
        </w:tc>
        <w:tc>
          <w:tcPr>
            <w:tcW w:w="8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11.2</w:t>
            </w:r>
          </w:p>
        </w:tc>
        <w:tc>
          <w:tcPr>
            <w:tcW w:w="14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13.7</w:t>
            </w:r>
          </w:p>
        </w:tc>
        <w:tc>
          <w:tcPr>
            <w:tcW w:w="16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7.3</w:t>
            </w:r>
          </w:p>
        </w:tc>
      </w:tr>
      <w:tr>
        <w:trPr>
          <w:trHeight w:val="222"/>
        </w:trPr>
        <w:tc>
          <w:tcPr>
            <w:tcW w:w="6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Total depreciation and amortization expense</w:t>
            </w:r>
          </w:p>
        </w:tc>
        <w:tc>
          <w:tcPr>
            <w:tcW w:w="820" w:type="dxa"/>
            <w:vAlign w:val="bottom"/>
            <w:shd w:val="clear" w:color="auto" w:fill="CCEEFF"/>
          </w:tcPr>
          <w:p>
            <w:pPr>
              <w:jc w:val="right"/>
              <w:ind w:right="644"/>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176.0</w:t>
            </w:r>
          </w:p>
        </w:tc>
        <w:tc>
          <w:tcPr>
            <w:tcW w:w="460" w:type="dxa"/>
            <w:vAlign w:val="bottom"/>
            <w:gridSpan w:val="2"/>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152.6</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118.1</w:t>
            </w: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191"/>
        </w:trPr>
        <w:tc>
          <w:tcPr>
            <w:tcW w:w="69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06"/>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Supplemental Information:</w:t>
            </w:r>
          </w:p>
        </w:tc>
        <w:tc>
          <w:tcPr>
            <w:tcW w:w="8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03"/>
        </w:trPr>
        <w:tc>
          <w:tcPr>
            <w:tcW w:w="69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Cash purchases of property and equipment, net:</w:t>
            </w:r>
          </w:p>
        </w:tc>
        <w:tc>
          <w:tcPr>
            <w:tcW w:w="8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9"/>
        </w:trPr>
        <w:tc>
          <w:tcPr>
            <w:tcW w:w="6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Surgical Facilities</w:t>
            </w:r>
          </w:p>
        </w:tc>
        <w:tc>
          <w:tcPr>
            <w:tcW w:w="820" w:type="dxa"/>
            <w:vAlign w:val="bottom"/>
            <w:shd w:val="clear" w:color="auto" w:fill="CCEEFF"/>
          </w:tcPr>
          <w:p>
            <w:pPr>
              <w:jc w:val="right"/>
              <w:ind w:right="644"/>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77.9</w:t>
            </w:r>
          </w:p>
        </w:tc>
        <w:tc>
          <w:tcPr>
            <w:tcW w:w="460" w:type="dxa"/>
            <w:vAlign w:val="bottom"/>
            <w:gridSpan w:val="2"/>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86.6</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88.7</w:t>
            </w:r>
          </w:p>
        </w:tc>
      </w:tr>
      <w:tr>
        <w:trPr>
          <w:trHeight w:val="203"/>
        </w:trPr>
        <w:tc>
          <w:tcPr>
            <w:tcW w:w="69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5"/>
                <w:szCs w:val="15"/>
                <w:color w:val="auto"/>
              </w:rPr>
              <w:t>All Other</w:t>
            </w:r>
          </w:p>
        </w:tc>
        <w:tc>
          <w:tcPr>
            <w:tcW w:w="8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0.8</w:t>
            </w:r>
          </w:p>
        </w:tc>
        <w:tc>
          <w:tcPr>
            <w:tcW w:w="14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3.8</w:t>
            </w:r>
          </w:p>
        </w:tc>
        <w:tc>
          <w:tcPr>
            <w:tcW w:w="16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0.1</w:t>
            </w:r>
          </w:p>
        </w:tc>
      </w:tr>
      <w:tr>
        <w:trPr>
          <w:trHeight w:val="222"/>
        </w:trPr>
        <w:tc>
          <w:tcPr>
            <w:tcW w:w="69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Total cash purchases of property and equipment, net</w:t>
            </w:r>
          </w:p>
        </w:tc>
        <w:tc>
          <w:tcPr>
            <w:tcW w:w="820" w:type="dxa"/>
            <w:vAlign w:val="bottom"/>
            <w:shd w:val="clear" w:color="auto" w:fill="CCEEFF"/>
          </w:tcPr>
          <w:p>
            <w:pPr>
              <w:jc w:val="right"/>
              <w:ind w:right="644"/>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78.7</w:t>
            </w:r>
          </w:p>
        </w:tc>
        <w:tc>
          <w:tcPr>
            <w:tcW w:w="460" w:type="dxa"/>
            <w:vAlign w:val="bottom"/>
            <w:gridSpan w:val="2"/>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90.4</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88.8</w:t>
            </w: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  For a reconciliation of Adjusted EBITDA to income before income taxes as reflected in the audited consolidated statements of operations see "Certain Non-GAAP Measures" below.</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00" w:type="dxa"/>
            <w:vAlign w:val="bottom"/>
            <w:gridSpan w:val="3"/>
          </w:tcPr>
          <w:p>
            <w:pPr>
              <w:jc w:val="right"/>
              <w:ind w:right="2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20" w:type="dxa"/>
            <w:vAlign w:val="bottom"/>
          </w:tcPr>
          <w:p>
            <w:pPr>
              <w:spacing w:after="0"/>
              <w:rPr>
                <w:sz w:val="15"/>
                <w:szCs w:val="15"/>
                <w:color w:val="auto"/>
              </w:rPr>
            </w:pPr>
          </w:p>
        </w:tc>
      </w:tr>
      <w:tr>
        <w:trPr>
          <w:trHeight w:val="22"/>
        </w:trPr>
        <w:tc>
          <w:tcPr>
            <w:tcW w:w="84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81"/>
        </w:trPr>
        <w:tc>
          <w:tcPr>
            <w:tcW w:w="840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bottom w:val="single" w:sz="8" w:color="auto"/>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6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2"/>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Assets:</w:t>
            </w:r>
          </w:p>
        </w:tc>
        <w:tc>
          <w:tcPr>
            <w:tcW w:w="8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203"/>
        </w:trPr>
        <w:tc>
          <w:tcPr>
            <w:tcW w:w="84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Surgical Facilities</w:t>
            </w:r>
          </w:p>
        </w:tc>
        <w:tc>
          <w:tcPr>
            <w:tcW w:w="820" w:type="dxa"/>
            <w:vAlign w:val="bottom"/>
          </w:tcPr>
          <w:p>
            <w:pPr>
              <w:jc w:val="right"/>
              <w:ind w:right="646"/>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7"/>
              </w:rPr>
              <w:t>7,643.9</w:t>
            </w:r>
          </w:p>
        </w:tc>
        <w:tc>
          <w:tcPr>
            <w:tcW w:w="160" w:type="dxa"/>
            <w:vAlign w:val="bottom"/>
          </w:tcPr>
          <w:p>
            <w:pPr>
              <w:spacing w:after="0"/>
              <w:rPr>
                <w:sz w:val="17"/>
                <w:szCs w:val="17"/>
                <w:color w:val="auto"/>
              </w:rPr>
            </w:pPr>
          </w:p>
        </w:tc>
        <w:tc>
          <w:tcPr>
            <w:tcW w:w="420" w:type="dxa"/>
            <w:vAlign w:val="bottom"/>
          </w:tcPr>
          <w:p>
            <w:pPr>
              <w:jc w:val="right"/>
              <w:ind w:right="263"/>
              <w:spacing w:after="0"/>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7,466.3</w:t>
            </w:r>
          </w:p>
        </w:tc>
      </w:tr>
      <w:tr>
        <w:trPr>
          <w:trHeight w:val="206"/>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All Other</w:t>
            </w:r>
          </w:p>
        </w:tc>
        <w:tc>
          <w:tcPr>
            <w:tcW w:w="82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475.8</w:t>
            </w:r>
          </w:p>
        </w:tc>
        <w:tc>
          <w:tcPr>
            <w:tcW w:w="16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423.7</w:t>
            </w:r>
          </w:p>
        </w:tc>
      </w:tr>
      <w:tr>
        <w:trPr>
          <w:trHeight w:val="202"/>
        </w:trPr>
        <w:tc>
          <w:tcPr>
            <w:tcW w:w="840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Total assets</w:t>
            </w:r>
          </w:p>
        </w:tc>
        <w:tc>
          <w:tcPr>
            <w:tcW w:w="820" w:type="dxa"/>
            <w:vAlign w:val="bottom"/>
            <w:tcBorders>
              <w:bottom w:val="single" w:sz="8" w:color="auto"/>
            </w:tcBorders>
          </w:tcPr>
          <w:p>
            <w:pPr>
              <w:jc w:val="right"/>
              <w:ind w:right="646"/>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97"/>
              </w:rPr>
              <w:t>8,119.7</w:t>
            </w:r>
          </w:p>
        </w:tc>
        <w:tc>
          <w:tcPr>
            <w:tcW w:w="160" w:type="dxa"/>
            <w:vAlign w:val="bottom"/>
          </w:tcPr>
          <w:p>
            <w:pPr>
              <w:spacing w:after="0"/>
              <w:rPr>
                <w:sz w:val="17"/>
                <w:szCs w:val="17"/>
                <w:color w:val="auto"/>
              </w:rPr>
            </w:pPr>
          </w:p>
        </w:tc>
        <w:tc>
          <w:tcPr>
            <w:tcW w:w="42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7,890.0</w:t>
            </w:r>
          </w:p>
        </w:tc>
      </w:tr>
      <w:tr>
        <w:trPr>
          <w:trHeight w:val="20"/>
        </w:trPr>
        <w:tc>
          <w:tcPr>
            <w:tcW w:w="84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Critical Accounting Policies</w:t>
      </w:r>
    </w:p>
    <w:p>
      <w:pPr>
        <w:spacing w:after="0" w:line="115" w:lineRule="exact"/>
        <w:rPr>
          <w:sz w:val="20"/>
          <w:szCs w:val="20"/>
          <w:color w:val="auto"/>
        </w:rPr>
      </w:pPr>
    </w:p>
    <w:p>
      <w:pPr>
        <w:jc w:val="both"/>
        <w:ind w:firstLine="309"/>
        <w:spacing w:after="0" w:line="275" w:lineRule="auto"/>
        <w:rPr>
          <w:sz w:val="20"/>
          <w:szCs w:val="20"/>
          <w:color w:val="auto"/>
        </w:rPr>
      </w:pPr>
      <w:r>
        <w:rPr>
          <w:rFonts w:ascii="Times New Roman" w:cs="Times New Roman" w:eastAsia="Times New Roman" w:hAnsi="Times New Roman"/>
          <w:sz w:val="15"/>
          <w:szCs w:val="15"/>
          <w:color w:val="auto"/>
        </w:rPr>
        <w:t>In preparing our consolidated financial statements in conformity with U.S. Generally Accepted Accounting Principles ("GAAP"), we must use estimates and assumptions that affect the reported amounts of assets and liabilities and related disclosures and the reported amounts of revenue and expenses. In general, our estimates are based on historical experience and various other assumptions we believe are reasonable under the circumstances. We evaluate our estimates on an ongoing basis and make changes to the estimates and related disclosures as experience develops or new information becomes known. Actual results could differ from those estimates.</w:t>
      </w:r>
    </w:p>
    <w:p>
      <w:pPr>
        <w:spacing w:after="0" w:line="60" w:lineRule="exact"/>
        <w:rPr>
          <w:sz w:val="20"/>
          <w:szCs w:val="20"/>
          <w:color w:val="auto"/>
        </w:rPr>
      </w:pPr>
    </w:p>
    <w:p>
      <w:pPr>
        <w:jc w:val="both"/>
        <w:ind w:firstLine="309"/>
        <w:spacing w:after="0" w:line="289" w:lineRule="auto"/>
        <w:rPr>
          <w:sz w:val="20"/>
          <w:szCs w:val="20"/>
          <w:color w:val="auto"/>
        </w:rPr>
      </w:pPr>
      <w:r>
        <w:rPr>
          <w:rFonts w:ascii="Times New Roman" w:cs="Times New Roman" w:eastAsia="Times New Roman" w:hAnsi="Times New Roman"/>
          <w:sz w:val="15"/>
          <w:szCs w:val="15"/>
          <w:color w:val="auto"/>
        </w:rPr>
        <w:t>We consider our critical accounting policies to be those that involve significant judgments and uncertainties, and may potentially result in materially different results under different assumptions and conditions.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Revenue Recognition</w:t>
      </w:r>
    </w:p>
    <w:p>
      <w:pPr>
        <w:spacing w:after="0" w:line="115" w:lineRule="exact"/>
        <w:rPr>
          <w:sz w:val="20"/>
          <w:szCs w:val="20"/>
          <w:color w:val="auto"/>
        </w:rPr>
      </w:pPr>
    </w:p>
    <w:p>
      <w:pPr>
        <w:jc w:val="both"/>
        <w:ind w:firstLine="309"/>
        <w:spacing w:after="0" w:line="279" w:lineRule="auto"/>
        <w:rPr>
          <w:sz w:val="20"/>
          <w:szCs w:val="20"/>
          <w:color w:val="auto"/>
        </w:rPr>
      </w:pPr>
      <w:r>
        <w:rPr>
          <w:rFonts w:ascii="Times New Roman" w:cs="Times New Roman" w:eastAsia="Times New Roman" w:hAnsi="Times New Roman"/>
          <w:sz w:val="15"/>
          <w:szCs w:val="15"/>
          <w:color w:val="auto"/>
        </w:rPr>
        <w:t>Our patient service revenues are derived primarily from surgical procedures performed at our surgical facilities, patient visits to physician practices, anesthesia services provided to patients, pharmacy services and diagnostic screens ordered by our physicians. The fees for such services are billed either to the patient or a third-party payor, including Medicare and Medicaid. We recognize patient service</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2"/>
          <w:szCs w:val="12"/>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5"/>
          <w:szCs w:val="15"/>
          <w:color w:val="auto"/>
        </w:rPr>
        <w:t>revenues, net of contractual adjustments and implicit price concessions. Contractual adjustments and implicit price concessions are estimated based on contractual agreements, discount policies and historical experience of cash collections and historical write-offs. The estimated contractual adjustments are recognized at the time of services being performed, with ASCs typically based on contractual agreements and surgical hospitals typically based on historical experience of cash collections and write-offs. Changes in estimated contractual adjustments are recorded in the period of change, with final adjustments, if any, typically at the time of payment.</w:t>
      </w:r>
    </w:p>
    <w:p>
      <w:pPr>
        <w:spacing w:after="0" w:line="78" w:lineRule="exact"/>
        <w:rPr>
          <w:sz w:val="20"/>
          <w:szCs w:val="20"/>
          <w:color w:val="auto"/>
        </w:rPr>
      </w:pPr>
    </w:p>
    <w:p>
      <w:pPr>
        <w:jc w:val="both"/>
        <w:ind w:firstLine="309"/>
        <w:spacing w:after="0" w:line="269" w:lineRule="auto"/>
        <w:rPr>
          <w:sz w:val="20"/>
          <w:szCs w:val="20"/>
          <w:color w:val="auto"/>
        </w:rPr>
      </w:pPr>
      <w:r>
        <w:rPr>
          <w:rFonts w:ascii="Times New Roman" w:cs="Times New Roman" w:eastAsia="Times New Roman" w:hAnsi="Times New Roman"/>
          <w:sz w:val="15"/>
          <w:szCs w:val="15"/>
          <w:color w:val="auto"/>
        </w:rPr>
        <w:t>Other service revenues consist of management and administrative service fees derived from non-consolidated surgical facilities that we account for under the equity method, management of surgical facilities in which we do not own an interest and management services we provide to physician networks for which we are not required to provide capital or additional assets. The fees we derive from these management arrangements are generally based on a predetermined percentage of the revenues of each surgical facility and physician network. We recognize other service revenues in the period in which services are rendered and billed.</w:t>
      </w:r>
    </w:p>
    <w:p>
      <w:pPr>
        <w:spacing w:after="0" w:line="65" w:lineRule="exact"/>
        <w:rPr>
          <w:sz w:val="20"/>
          <w:szCs w:val="20"/>
          <w:color w:val="auto"/>
        </w:rPr>
      </w:pPr>
    </w:p>
    <w:p>
      <w:pPr>
        <w:jc w:val="both"/>
        <w:ind w:firstLine="309"/>
        <w:spacing w:after="0" w:line="307" w:lineRule="auto"/>
        <w:rPr>
          <w:sz w:val="20"/>
          <w:szCs w:val="20"/>
          <w:color w:val="auto"/>
        </w:rPr>
      </w:pPr>
      <w:r>
        <w:rPr>
          <w:rFonts w:ascii="Times New Roman" w:cs="Times New Roman" w:eastAsia="Times New Roman" w:hAnsi="Times New Roman"/>
          <w:sz w:val="15"/>
          <w:szCs w:val="15"/>
          <w:color w:val="auto"/>
        </w:rPr>
        <w:t>There were no material impacts on our financial condition or results of operations due to changes in assumptions or conditions related to revenue recognition during the years ended December 31, 2025, 2024 and 2023.</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Accounts Receivable</w:t>
      </w:r>
    </w:p>
    <w:p>
      <w:pPr>
        <w:spacing w:after="0" w:line="115" w:lineRule="exact"/>
        <w:rPr>
          <w:sz w:val="20"/>
          <w:szCs w:val="20"/>
          <w:color w:val="auto"/>
        </w:rPr>
      </w:pPr>
    </w:p>
    <w:p>
      <w:pPr>
        <w:jc w:val="both"/>
        <w:ind w:firstLine="309"/>
        <w:spacing w:after="0" w:line="265" w:lineRule="auto"/>
        <w:rPr>
          <w:sz w:val="20"/>
          <w:szCs w:val="20"/>
          <w:color w:val="auto"/>
        </w:rPr>
      </w:pPr>
      <w:r>
        <w:rPr>
          <w:rFonts w:ascii="Times New Roman" w:cs="Times New Roman" w:eastAsia="Times New Roman" w:hAnsi="Times New Roman"/>
          <w:sz w:val="15"/>
          <w:szCs w:val="15"/>
          <w:color w:val="auto"/>
        </w:rPr>
        <w:t>Accounts receivable from third-party payors are recorded net of contractual allowances and implicit price concessions, which are estimated based on established fee schedules, relationships with payors, procedure statistics and other objective information including the historical trend of cash collections and contractual write-offs. Contractual adjustments and implicit price concessions are estimated based on contractual agreements, discount policies and historical experience of cash collections and historical write-offs. The estimated contractual adjustments and implicit price concessions are recognized at the time of services being performed, with ASCs generally based on contractual agreements and surgical hospitals generally based on historical experience of cash collections and write-offs. Changes in estimated contractual adjustments and implicit price concessions are recorded in the period of change, with final adjustments, if any, typically at the time of payment.</w:t>
      </w:r>
    </w:p>
    <w:p>
      <w:pPr>
        <w:spacing w:after="0" w:line="82" w:lineRule="exact"/>
        <w:rPr>
          <w:sz w:val="20"/>
          <w:szCs w:val="20"/>
          <w:color w:val="auto"/>
        </w:rPr>
      </w:pPr>
    </w:p>
    <w:p>
      <w:pPr>
        <w:jc w:val="both"/>
        <w:ind w:firstLine="309"/>
        <w:spacing w:after="0" w:line="266" w:lineRule="auto"/>
        <w:rPr>
          <w:sz w:val="20"/>
          <w:szCs w:val="20"/>
          <w:color w:val="auto"/>
        </w:rPr>
      </w:pPr>
      <w:r>
        <w:rPr>
          <w:rFonts w:ascii="Times New Roman" w:cs="Times New Roman" w:eastAsia="Times New Roman" w:hAnsi="Times New Roman"/>
          <w:sz w:val="15"/>
          <w:szCs w:val="15"/>
          <w:color w:val="auto"/>
        </w:rPr>
        <w:t>We recognize that final reimbursement of outstanding accounts receivable is subject to final approval by each third-party payor. However, because we have contracts with our third-party payors and we verify the insurance coverage of the patient before services are rendered, the amounts that are pending approval from third-party payors are minimal. Amounts are classified outside of self-pay if we have an agreement with the third-party payor or we have verified a patient’s coverage prior to services rendered. It is our policy to collect co-payments and deductibles prior to providing services, where possible. It is also our policy to verify a patient’s insurance 72 hours prior to the patient’s procedure. Because our services are primarily non-emergency, our surgical facilities have the ability to control the procedures for which third-party reimbursement is sought and obtained.</w:t>
      </w:r>
    </w:p>
    <w:p>
      <w:pPr>
        <w:spacing w:after="0" w:line="256" w:lineRule="exact"/>
        <w:rPr>
          <w:sz w:val="20"/>
          <w:szCs w:val="20"/>
          <w:color w:val="auto"/>
        </w:rPr>
      </w:pPr>
    </w:p>
    <w:p>
      <w:pPr>
        <w:jc w:val="both"/>
        <w:ind w:firstLine="309"/>
        <w:spacing w:after="0" w:line="269" w:lineRule="auto"/>
        <w:rPr>
          <w:sz w:val="20"/>
          <w:szCs w:val="20"/>
          <w:color w:val="auto"/>
        </w:rPr>
      </w:pPr>
      <w:r>
        <w:rPr>
          <w:rFonts w:ascii="Times New Roman" w:cs="Times New Roman" w:eastAsia="Times New Roman" w:hAnsi="Times New Roman"/>
          <w:sz w:val="15"/>
          <w:szCs w:val="15"/>
          <w:color w:val="auto"/>
        </w:rPr>
        <w:t>Our collection policies and procedures are based on the type of payor, size of claim and estimated collection percentage for each patient account. The operating systems used to manage our patient accounts provide for an aging schedule in 30-day increments, by payor, physician and patient. We analyze accounts receivable at each of our surgical facilities to ensure the proper collection and aged category. The operating systems generate reports that assist in the collection efforts by prioritizing patient accounts. Collection efforts include direct contact with insurance carriers or patients, written correspondence and the use of legal or collection agency assistance, as required. Our average days sales outstanding was 60 and 61 days for the years ended December 31, 2025 and 2024, respectively.</w:t>
      </w:r>
    </w:p>
    <w:p>
      <w:pPr>
        <w:spacing w:after="0" w:line="65" w:lineRule="exact"/>
        <w:rPr>
          <w:sz w:val="20"/>
          <w:szCs w:val="20"/>
          <w:color w:val="auto"/>
        </w:rPr>
      </w:pPr>
    </w:p>
    <w:p>
      <w:pPr>
        <w:jc w:val="both"/>
        <w:ind w:firstLine="309"/>
        <w:spacing w:after="0" w:line="289" w:lineRule="auto"/>
        <w:rPr>
          <w:sz w:val="20"/>
          <w:szCs w:val="20"/>
          <w:color w:val="auto"/>
        </w:rPr>
      </w:pPr>
      <w:r>
        <w:rPr>
          <w:rFonts w:ascii="Times New Roman" w:cs="Times New Roman" w:eastAsia="Times New Roman" w:hAnsi="Times New Roman"/>
          <w:sz w:val="15"/>
          <w:szCs w:val="15"/>
          <w:color w:val="auto"/>
        </w:rPr>
        <w:t>There were no material impacts on our financial condition or results of operations due to changes in assumptions or conditions related to accounts receivable during the years ended December 31, 2025, 2024 and 2023.</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Income Taxes</w:t>
      </w:r>
    </w:p>
    <w:p>
      <w:pPr>
        <w:spacing w:after="0" w:line="115" w:lineRule="exact"/>
        <w:rPr>
          <w:sz w:val="20"/>
          <w:szCs w:val="20"/>
          <w:color w:val="auto"/>
        </w:rPr>
      </w:pPr>
    </w:p>
    <w:p>
      <w:pPr>
        <w:jc w:val="both"/>
        <w:ind w:firstLine="309"/>
        <w:spacing w:after="0" w:line="266" w:lineRule="auto"/>
        <w:rPr>
          <w:sz w:val="20"/>
          <w:szCs w:val="20"/>
          <w:color w:val="auto"/>
        </w:rPr>
      </w:pPr>
      <w:r>
        <w:rPr>
          <w:rFonts w:ascii="Times New Roman" w:cs="Times New Roman" w:eastAsia="Times New Roman" w:hAnsi="Times New Roman"/>
          <w:sz w:val="15"/>
          <w:szCs w:val="15"/>
          <w:color w:val="auto"/>
        </w:rPr>
        <w:t>We use the asset and liability method to account for income taxes. Under this method, deferred income tax assets and liabilities are recognized for the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We assess the likelihood that deferred tax assets will be recovered from sources of future taxable income. To the extent we believe that recovery is not probable, a valuation allowance is established. To the extent we establish a valuation allowance or subsequently increase or decrease this allowance, we must include an adjustment as part of the income tax provision in our results of operations.</w:t>
      </w:r>
    </w:p>
    <w:p>
      <w:pPr>
        <w:spacing w:after="0" w:line="256" w:lineRule="exact"/>
        <w:rPr>
          <w:sz w:val="20"/>
          <w:szCs w:val="20"/>
          <w:color w:val="auto"/>
        </w:rPr>
      </w:pPr>
    </w:p>
    <w:p>
      <w:pPr>
        <w:jc w:val="both"/>
        <w:ind w:firstLine="309"/>
        <w:spacing w:after="0" w:line="269" w:lineRule="auto"/>
        <w:rPr>
          <w:sz w:val="20"/>
          <w:szCs w:val="20"/>
          <w:color w:val="auto"/>
        </w:rPr>
      </w:pPr>
      <w:r>
        <w:rPr>
          <w:rFonts w:ascii="Times New Roman" w:cs="Times New Roman" w:eastAsia="Times New Roman" w:hAnsi="Times New Roman"/>
          <w:sz w:val="15"/>
          <w:szCs w:val="15"/>
          <w:color w:val="auto"/>
        </w:rPr>
        <w:t>The first step in determining the deferred tax asset valuation allowance is identifying reporting jurisdictions where we have a history of tax and operating losses or are projected to have losses in future periods as a result of changes in operational performance. We then determine if a valuation allowance should be established against the deferred tax assets for that reporting jurisdiction. The second step is to determine the amount of the valuation allowance. We will generally establish a valuation allowance equal to the net deferred tax asset (deferred tax assets less deferred tax liabilities) related to the jurisdiction identified in step one of the analysis. In certain cases, we may not reduce the valuation allowance by the amount of the deferred tax liabilities depending on the nature and timing of future taxable income attributable to deferred tax liabilities.</w:t>
      </w:r>
    </w:p>
    <w:p>
      <w:pPr>
        <w:spacing w:after="0" w:line="65" w:lineRule="exact"/>
        <w:rPr>
          <w:sz w:val="20"/>
          <w:szCs w:val="20"/>
          <w:color w:val="auto"/>
        </w:rPr>
      </w:pPr>
    </w:p>
    <w:p>
      <w:pPr>
        <w:jc w:val="both"/>
        <w:ind w:firstLine="309"/>
        <w:spacing w:after="0" w:line="279" w:lineRule="auto"/>
        <w:rPr>
          <w:sz w:val="20"/>
          <w:szCs w:val="20"/>
          <w:color w:val="auto"/>
        </w:rPr>
      </w:pPr>
      <w:r>
        <w:rPr>
          <w:rFonts w:ascii="Times New Roman" w:cs="Times New Roman" w:eastAsia="Times New Roman" w:hAnsi="Times New Roman"/>
          <w:sz w:val="15"/>
          <w:szCs w:val="15"/>
          <w:color w:val="auto"/>
        </w:rPr>
        <w:t>We recorded a valuation allowance against our deferred tax assets at December 31, 2025 and 2024 totaling $317.9 million and $284.7 million, respectively. The valuation allowance has been established for certain deferred tax assets for which we believe it is more likely than not that the tax benefits will not be realized. Our income tax expense and/or other comprehensive income in future periods will be</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2"/>
          <w:szCs w:val="12"/>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5"/>
          <w:szCs w:val="15"/>
          <w:color w:val="auto"/>
        </w:rPr>
        <w:t>reduced or increased to the extent of offsetting decreases or increases, respectively, in our valuation allowance in the period when the change in circumstances occurs. These changes could have a significant impact on our future earnings.</w:t>
      </w:r>
    </w:p>
    <w:p>
      <w:pPr>
        <w:spacing w:after="0" w:line="62" w:lineRule="exact"/>
        <w:rPr>
          <w:sz w:val="20"/>
          <w:szCs w:val="20"/>
          <w:color w:val="auto"/>
        </w:rPr>
      </w:pPr>
    </w:p>
    <w:p>
      <w:pPr>
        <w:jc w:val="both"/>
        <w:ind w:firstLine="309"/>
        <w:spacing w:after="0" w:line="279" w:lineRule="auto"/>
        <w:rPr>
          <w:sz w:val="20"/>
          <w:szCs w:val="20"/>
          <w:color w:val="auto"/>
        </w:rPr>
      </w:pPr>
      <w:r>
        <w:rPr>
          <w:rFonts w:ascii="Times New Roman" w:cs="Times New Roman" w:eastAsia="Times New Roman" w:hAnsi="Times New Roman"/>
          <w:sz w:val="15"/>
          <w:szCs w:val="15"/>
          <w:color w:val="auto"/>
        </w:rPr>
        <w:t>The Company made income tax payments of $1.2 million, $1.6 million and $1.4 million for the years ended December 31, 2025, 2024 and 2023, respectively. In each of these periods the income tax payments related to states in which the Company does not have a NOL to offset taxable income. During the years ended December 31, 2025, 2024 and 2023, the Company made no federal income tax payments due to utilization of its NOL carryforwards.</w:t>
      </w:r>
    </w:p>
    <w:p>
      <w:pPr>
        <w:spacing w:after="0" w:line="56" w:lineRule="exact"/>
        <w:rPr>
          <w:sz w:val="20"/>
          <w:szCs w:val="20"/>
          <w:color w:val="auto"/>
        </w:rPr>
      </w:pPr>
    </w:p>
    <w:p>
      <w:pPr>
        <w:jc w:val="both"/>
        <w:ind w:firstLine="309"/>
        <w:spacing w:after="0" w:line="279" w:lineRule="auto"/>
        <w:rPr>
          <w:sz w:val="20"/>
          <w:szCs w:val="20"/>
          <w:color w:val="auto"/>
        </w:rPr>
      </w:pPr>
      <w:r>
        <w:rPr>
          <w:rFonts w:ascii="Times New Roman" w:cs="Times New Roman" w:eastAsia="Times New Roman" w:hAnsi="Times New Roman"/>
          <w:sz w:val="15"/>
          <w:szCs w:val="15"/>
          <w:color w:val="auto"/>
        </w:rPr>
        <w:t>Section 382 of the Internal Revenue Code of 1986 ("Section 382"), as amended (the "Code") imposes an annual limit on the ability of a corporation that undergoes an "ownership change" to use its NOLs to reduce its tax liability. Approximately $394.3 million in NOL carryforwards are subject to annual Section 382 base limitations. At this time, we do not believe this limitation, when combined with amounts allowable due to net unrecognized built in gains, will affect our ability to use any NOLs before they expire.</w:t>
      </w:r>
    </w:p>
    <w:p>
      <w:pPr>
        <w:spacing w:after="0" w:line="56" w:lineRule="exact"/>
        <w:rPr>
          <w:sz w:val="20"/>
          <w:szCs w:val="20"/>
          <w:color w:val="auto"/>
        </w:rPr>
      </w:pPr>
    </w:p>
    <w:p>
      <w:pPr>
        <w:jc w:val="both"/>
        <w:ind w:firstLine="309"/>
        <w:spacing w:after="0" w:line="265" w:lineRule="auto"/>
        <w:rPr>
          <w:sz w:val="20"/>
          <w:szCs w:val="20"/>
          <w:color w:val="auto"/>
        </w:rPr>
      </w:pPr>
      <w:r>
        <w:rPr>
          <w:rFonts w:ascii="Times New Roman" w:cs="Times New Roman" w:eastAsia="Times New Roman" w:hAnsi="Times New Roman"/>
          <w:sz w:val="15"/>
          <w:szCs w:val="15"/>
          <w:color w:val="auto"/>
        </w:rPr>
        <w:t>In assessing tax contingencies, we apply the provisions of ASC 740, “Income Taxes”. We apply the recognition threshold and measurement of a tax position taken or expected to be taken in a tax return and follow the guidance on various matters such as derecognition, interest, penalties and disclosure. We classify interest and penalties as a component of income tax expense. During each reporting period, we assess the facts and circumstances related to recorded tax contingencies, such as lapsing of applicable statutes of limitations, conclusion of tax audits, additional exposure based on current calculations, identification of new issues, release of administrative guidance, or rendering of a court decision affecting a particular tax issue. If tax contingencies are no longer deemed probable based upon new facts and circumstances, the contingency is reflected as a reduction of the provision for income taxes in the current period.</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Impairment of Goodwill</w:t>
      </w:r>
    </w:p>
    <w:p>
      <w:pPr>
        <w:spacing w:after="0" w:line="115" w:lineRule="exact"/>
        <w:rPr>
          <w:sz w:val="20"/>
          <w:szCs w:val="20"/>
          <w:color w:val="auto"/>
        </w:rPr>
      </w:pPr>
    </w:p>
    <w:p>
      <w:pPr>
        <w:jc w:val="both"/>
        <w:ind w:firstLine="309"/>
        <w:spacing w:after="0" w:line="251" w:lineRule="auto"/>
        <w:rPr>
          <w:sz w:val="20"/>
          <w:szCs w:val="20"/>
          <w:color w:val="auto"/>
        </w:rPr>
      </w:pPr>
      <w:r>
        <w:rPr>
          <w:rFonts w:ascii="Times New Roman" w:cs="Times New Roman" w:eastAsia="Times New Roman" w:hAnsi="Times New Roman"/>
          <w:sz w:val="15"/>
          <w:szCs w:val="15"/>
          <w:color w:val="auto"/>
        </w:rPr>
        <w:t>Goodwill represents the excess of the fair value of the consideration conveyed in the acquisition over the fair value of net assets acquired. Goodwill is reviewed for impairment at the reporting unit level, which is defined as one level below an operating segment or at the operating segment level, on an annual basis or sooner if the indicators of impairment arise. Our judgments regarding the existence of impairment indicators are based on market conditions and operational performance of each reporting unit. During 2025, the Company has identified two reporting units, American Group and National Group.</w:t>
      </w:r>
    </w:p>
    <w:p>
      <w:pPr>
        <w:spacing w:after="0" w:line="91" w:lineRule="exact"/>
        <w:rPr>
          <w:sz w:val="20"/>
          <w:szCs w:val="20"/>
          <w:color w:val="auto"/>
        </w:rPr>
      </w:pPr>
    </w:p>
    <w:p>
      <w:pPr>
        <w:jc w:val="both"/>
        <w:ind w:firstLine="309"/>
        <w:spacing w:after="0" w:line="270" w:lineRule="auto"/>
        <w:rPr>
          <w:sz w:val="20"/>
          <w:szCs w:val="20"/>
          <w:color w:val="auto"/>
        </w:rPr>
      </w:pPr>
      <w:r>
        <w:rPr>
          <w:rFonts w:ascii="Times New Roman" w:cs="Times New Roman" w:eastAsia="Times New Roman" w:hAnsi="Times New Roman"/>
          <w:sz w:val="15"/>
          <w:szCs w:val="15"/>
          <w:color w:val="auto"/>
        </w:rPr>
        <w:t>The Company tests its goodwill for impairment at least annually, as of October 1, or more frequently if certain indicators arise. A detailed evaluation of potential impairment indicators was performed, which specifically considered recent increases in interest rates, inflation risk and market volatility. As of the October 1, 2025 valuation, the estimated fair values of the reporting units were substantially in excess of their carrying values.</w:t>
      </w:r>
    </w:p>
    <w:p>
      <w:pPr>
        <w:spacing w:after="0" w:line="75" w:lineRule="exact"/>
        <w:rPr>
          <w:sz w:val="20"/>
          <w:szCs w:val="20"/>
          <w:color w:val="auto"/>
        </w:rPr>
      </w:pPr>
    </w:p>
    <w:p>
      <w:pPr>
        <w:jc w:val="both"/>
        <w:ind w:firstLine="309"/>
        <w:spacing w:after="0" w:line="279" w:lineRule="auto"/>
        <w:rPr>
          <w:sz w:val="20"/>
          <w:szCs w:val="20"/>
          <w:color w:val="auto"/>
        </w:rPr>
      </w:pPr>
      <w:r>
        <w:rPr>
          <w:rFonts w:ascii="Times New Roman" w:cs="Times New Roman" w:eastAsia="Times New Roman" w:hAnsi="Times New Roman"/>
          <w:sz w:val="15"/>
          <w:szCs w:val="15"/>
          <w:color w:val="auto"/>
        </w:rPr>
        <w:t>Subsequent to the date of our annual impairment test, the Company considered its operating results for the fourth quarter of 2025, macroeconomic, industry and market conditions, and other market indicators including its market capitalization. Based on its evaluation of all such factors, the Company concluded that no event had occurred and no circumstances had changed that would more likely than not reduce the fair value of its reporting units below their carrying values.</w:t>
      </w:r>
    </w:p>
    <w:p>
      <w:pPr>
        <w:spacing w:after="0" w:line="5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In 2025, 2024 and 2023, there were no non-cash impairment charges.</w:t>
      </w:r>
    </w:p>
    <w:p>
      <w:pPr>
        <w:spacing w:after="0" w:line="11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See Note 4. "Goodwill and Intangible Assets" to the consolidated financial statements elsewhere in this Annual Report for additional disclosure related to goodwill.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2"/>
          <w:szCs w:val="12"/>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Results of Operations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Comparison of Operating Results for the Year Ended December 31, 2025 to the Year Ended December 31, 2024</w:t>
      </w:r>
    </w:p>
    <w:p>
      <w:pPr>
        <w:spacing w:after="0" w:line="12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The following tables summarize certain results from the statements of operations for the periods indicated (in millions):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0" w:type="dxa"/>
            <w:vAlign w:val="bottom"/>
          </w:tcPr>
          <w:p>
            <w:pPr>
              <w:spacing w:after="0"/>
              <w:rPr>
                <w:sz w:val="15"/>
                <w:szCs w:val="15"/>
                <w:color w:val="auto"/>
              </w:rPr>
            </w:pPr>
          </w:p>
        </w:tc>
        <w:tc>
          <w:tcPr>
            <w:tcW w:w="6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40" w:type="dxa"/>
            <w:vAlign w:val="bottom"/>
            <w:gridSpan w:val="7"/>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6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60" w:type="dxa"/>
            <w:vAlign w:val="bottom"/>
          </w:tcPr>
          <w:p>
            <w:pPr>
              <w:spacing w:after="0"/>
              <w:rPr>
                <w:sz w:val="15"/>
                <w:szCs w:val="15"/>
                <w:color w:val="auto"/>
              </w:rPr>
            </w:pPr>
          </w:p>
        </w:tc>
        <w:tc>
          <w:tcPr>
            <w:tcW w:w="68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184"/>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60" w:type="dxa"/>
            <w:vAlign w:val="bottom"/>
          </w:tcPr>
          <w:p>
            <w:pPr>
              <w:spacing w:after="0"/>
              <w:rPr>
                <w:sz w:val="12"/>
                <w:szCs w:val="12"/>
                <w:color w:val="auto"/>
              </w:rPr>
            </w:pPr>
          </w:p>
        </w:tc>
        <w:tc>
          <w:tcPr>
            <w:tcW w:w="6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6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Revenues</w:t>
            </w:r>
          </w:p>
        </w:tc>
        <w:tc>
          <w:tcPr>
            <w:tcW w:w="32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3,308.7</w:t>
            </w:r>
          </w:p>
        </w:tc>
        <w:tc>
          <w:tcPr>
            <w:tcW w:w="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3,114.3</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2,743.3</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Operating expenses:</w:t>
            </w: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0" w:type="dxa"/>
            <w:vAlign w:val="bottom"/>
            <w:shd w:val="clear" w:color="auto" w:fill="CCEEFF"/>
          </w:tcPr>
          <w:p>
            <w:pPr>
              <w:spacing w:after="0"/>
              <w:rPr>
                <w:sz w:val="18"/>
                <w:szCs w:val="18"/>
                <w:color w:val="auto"/>
              </w:rPr>
            </w:pPr>
          </w:p>
        </w:tc>
        <w:tc>
          <w:tcPr>
            <w:tcW w:w="68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Cost of revenues</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2,543.7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2,368.7</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2,095.8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0" w:type="dxa"/>
            <w:vAlign w:val="bottom"/>
          </w:tcPr>
          <w:p>
            <w:pPr>
              <w:spacing w:after="0"/>
              <w:rPr>
                <w:sz w:val="17"/>
                <w:szCs w:val="17"/>
                <w:color w:val="auto"/>
              </w:rPr>
            </w:pPr>
          </w:p>
        </w:tc>
        <w:tc>
          <w:tcPr>
            <w:tcW w:w="684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General and administrative expenses</w:t>
            </w:r>
          </w:p>
        </w:tc>
        <w:tc>
          <w:tcPr>
            <w:tcW w:w="320" w:type="dxa"/>
            <w:vAlign w:val="bottom"/>
          </w:tcPr>
          <w:p>
            <w:pPr>
              <w:spacing w:after="0"/>
              <w:rPr>
                <w:sz w:val="17"/>
                <w:szCs w:val="17"/>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118.2</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4"/>
          </w:tcPr>
          <w:p>
            <w:pPr>
              <w:jc w:val="right"/>
              <w:ind w:right="60"/>
              <w:spacing w:after="0"/>
              <w:rPr>
                <w:sz w:val="20"/>
                <w:szCs w:val="20"/>
                <w:color w:val="auto"/>
              </w:rPr>
            </w:pPr>
            <w:r>
              <w:rPr>
                <w:rFonts w:ascii="Times New Roman" w:cs="Times New Roman" w:eastAsia="Times New Roman" w:hAnsi="Times New Roman"/>
                <w:sz w:val="15"/>
                <w:szCs w:val="15"/>
                <w:color w:val="auto"/>
              </w:rPr>
              <w:t>138.7</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120.9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0" w:type="dxa"/>
            <w:vAlign w:val="bottom"/>
            <w:shd w:val="clear" w:color="auto" w:fill="CCEEFF"/>
          </w:tcPr>
          <w:p>
            <w:pPr>
              <w:spacing w:after="0"/>
              <w:rPr>
                <w:sz w:val="18"/>
                <w:szCs w:val="18"/>
                <w:color w:val="auto"/>
              </w:rPr>
            </w:pPr>
          </w:p>
        </w:tc>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176.0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152.6</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118.1</w:t>
            </w:r>
          </w:p>
        </w:tc>
        <w:tc>
          <w:tcPr>
            <w:tcW w:w="0" w:type="dxa"/>
            <w:vAlign w:val="bottom"/>
          </w:tcPr>
          <w:p>
            <w:pPr>
              <w:spacing w:after="0"/>
              <w:rPr>
                <w:sz w:val="1"/>
                <w:szCs w:val="1"/>
                <w:color w:val="auto"/>
              </w:rPr>
            </w:pPr>
          </w:p>
        </w:tc>
      </w:tr>
      <w:tr>
        <w:trPr>
          <w:trHeight w:val="203"/>
        </w:trPr>
        <w:tc>
          <w:tcPr>
            <w:tcW w:w="60" w:type="dxa"/>
            <w:vAlign w:val="bottom"/>
          </w:tcPr>
          <w:p>
            <w:pPr>
              <w:spacing w:after="0"/>
              <w:rPr>
                <w:sz w:val="17"/>
                <w:szCs w:val="17"/>
                <w:color w:val="auto"/>
              </w:rPr>
            </w:pPr>
          </w:p>
        </w:tc>
        <w:tc>
          <w:tcPr>
            <w:tcW w:w="684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Transaction and integration costs</w:t>
            </w:r>
          </w:p>
        </w:tc>
        <w:tc>
          <w:tcPr>
            <w:tcW w:w="320" w:type="dxa"/>
            <w:vAlign w:val="bottom"/>
          </w:tcPr>
          <w:p>
            <w:pPr>
              <w:spacing w:after="0"/>
              <w:rPr>
                <w:sz w:val="17"/>
                <w:szCs w:val="17"/>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73.9</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4"/>
          </w:tcPr>
          <w:p>
            <w:pPr>
              <w:jc w:val="right"/>
              <w:ind w:right="60"/>
              <w:spacing w:after="0"/>
              <w:rPr>
                <w:sz w:val="20"/>
                <w:szCs w:val="20"/>
                <w:color w:val="auto"/>
              </w:rPr>
            </w:pPr>
            <w:r>
              <w:rPr>
                <w:rFonts w:ascii="Times New Roman" w:cs="Times New Roman" w:eastAsia="Times New Roman" w:hAnsi="Times New Roman"/>
                <w:sz w:val="15"/>
                <w:szCs w:val="15"/>
                <w:color w:val="auto"/>
              </w:rPr>
              <w:t>100.1</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61.7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9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Net loss on disposals, consolidations and deconsolidations</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30.4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40.6</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Equity in earnings of unconsolidated affiliates</w:t>
            </w:r>
          </w:p>
        </w:tc>
        <w:tc>
          <w:tcPr>
            <w:tcW w:w="320" w:type="dxa"/>
            <w:vAlign w:val="bottom"/>
          </w:tcPr>
          <w:p>
            <w:pPr>
              <w:spacing w:after="0"/>
              <w:rPr>
                <w:sz w:val="17"/>
                <w:szCs w:val="17"/>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(22.9)</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4"/>
          </w:tcPr>
          <w:p>
            <w:pPr>
              <w:jc w:val="right"/>
              <w:ind w:right="20"/>
              <w:spacing w:after="0"/>
              <w:rPr>
                <w:sz w:val="20"/>
                <w:szCs w:val="20"/>
                <w:color w:val="auto"/>
              </w:rPr>
            </w:pPr>
            <w:r>
              <w:rPr>
                <w:rFonts w:ascii="Times New Roman" w:cs="Times New Roman" w:eastAsia="Times New Roman" w:hAnsi="Times New Roman"/>
                <w:sz w:val="15"/>
                <w:szCs w:val="15"/>
                <w:color w:val="auto"/>
              </w:rPr>
              <w:t>(19.5)</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(14.2)</w:t>
            </w:r>
          </w:p>
        </w:tc>
        <w:tc>
          <w:tcPr>
            <w:tcW w:w="0" w:type="dxa"/>
            <w:vAlign w:val="bottom"/>
          </w:tcPr>
          <w:p>
            <w:pPr>
              <w:spacing w:after="0"/>
              <w:rPr>
                <w:sz w:val="1"/>
                <w:szCs w:val="1"/>
                <w:color w:val="auto"/>
              </w:rPr>
            </w:pPr>
          </w:p>
        </w:tc>
      </w:tr>
      <w:tr>
        <w:trPr>
          <w:trHeight w:val="209"/>
        </w:trPr>
        <w:tc>
          <w:tcPr>
            <w:tcW w:w="69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Litigation settlements</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7.3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(0.8)</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Loss on debt extinguishment</w:t>
            </w:r>
          </w:p>
        </w:tc>
        <w:tc>
          <w:tcPr>
            <w:tcW w:w="320" w:type="dxa"/>
            <w:vAlign w:val="bottom"/>
          </w:tcPr>
          <w:p>
            <w:pPr>
              <w:spacing w:after="0"/>
              <w:rPr>
                <w:sz w:val="17"/>
                <w:szCs w:val="17"/>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1.3</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gridSpan w:val="3"/>
          </w:tcPr>
          <w:p>
            <w:pPr>
              <w:jc w:val="right"/>
              <w:ind w:right="60"/>
              <w:spacing w:after="0"/>
              <w:rPr>
                <w:sz w:val="20"/>
                <w:szCs w:val="20"/>
                <w:color w:val="auto"/>
              </w:rPr>
            </w:pPr>
            <w:r>
              <w:rPr>
                <w:rFonts w:ascii="Times New Roman" w:cs="Times New Roman" w:eastAsia="Times New Roman" w:hAnsi="Times New Roman"/>
                <w:sz w:val="15"/>
                <w:szCs w:val="15"/>
                <w:color w:val="auto"/>
                <w:w w:val="95"/>
              </w:rPr>
              <w:t>5.1</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9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Other income</w:t>
            </w: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(8.7)</w:t>
            </w:r>
          </w:p>
        </w:tc>
        <w:tc>
          <w:tcPr>
            <w:tcW w:w="1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(20.0)</w:t>
            </w:r>
          </w:p>
        </w:tc>
        <w:tc>
          <w:tcPr>
            <w:tcW w:w="16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(7.5)</w:t>
            </w:r>
          </w:p>
        </w:tc>
        <w:tc>
          <w:tcPr>
            <w:tcW w:w="0" w:type="dxa"/>
            <w:vAlign w:val="bottom"/>
          </w:tcPr>
          <w:p>
            <w:pPr>
              <w:spacing w:after="0"/>
              <w:rPr>
                <w:sz w:val="1"/>
                <w:szCs w:val="1"/>
                <w:color w:val="auto"/>
              </w:rPr>
            </w:pPr>
          </w:p>
        </w:tc>
      </w:tr>
      <w:tr>
        <w:trPr>
          <w:trHeight w:val="199"/>
        </w:trPr>
        <w:tc>
          <w:tcPr>
            <w:tcW w:w="60" w:type="dxa"/>
            <w:vAlign w:val="bottom"/>
            <w:tcBorders>
              <w:bottom w:val="single" w:sz="8" w:color="CCEEFF"/>
            </w:tcBorders>
          </w:tcPr>
          <w:p>
            <w:pPr>
              <w:spacing w:after="0"/>
              <w:rPr>
                <w:sz w:val="17"/>
                <w:szCs w:val="17"/>
                <w:color w:val="auto"/>
              </w:rPr>
            </w:pPr>
          </w:p>
        </w:tc>
        <w:tc>
          <w:tcPr>
            <w:tcW w:w="684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2,919.2</w:t>
            </w:r>
          </w:p>
        </w:tc>
        <w:tc>
          <w:tcPr>
            <w:tcW w:w="1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5"/>
                <w:szCs w:val="15"/>
                <w:color w:val="auto"/>
              </w:rPr>
              <w:t>2,765.5</w:t>
            </w:r>
          </w:p>
        </w:tc>
        <w:tc>
          <w:tcPr>
            <w:tcW w:w="16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2,415.3</w:t>
            </w:r>
          </w:p>
        </w:tc>
        <w:tc>
          <w:tcPr>
            <w:tcW w:w="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Operating income</w:t>
            </w:r>
          </w:p>
        </w:tc>
        <w:tc>
          <w:tcPr>
            <w:tcW w:w="3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389.5</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348.8</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328.0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 w:type="dxa"/>
            <w:vAlign w:val="bottom"/>
            <w:tcBorders>
              <w:bottom w:val="single" w:sz="8" w:color="CCEEFF"/>
            </w:tcBorders>
          </w:tcPr>
          <w:p>
            <w:pPr>
              <w:spacing w:after="0"/>
              <w:rPr>
                <w:sz w:val="17"/>
                <w:szCs w:val="17"/>
                <w:color w:val="auto"/>
              </w:rPr>
            </w:pPr>
          </w:p>
        </w:tc>
        <w:tc>
          <w:tcPr>
            <w:tcW w:w="684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5"/>
                <w:szCs w:val="15"/>
                <w:color w:val="auto"/>
              </w:rPr>
              <w:t>Interest expense, net</w:t>
            </w: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(272.6)</w:t>
            </w:r>
          </w:p>
        </w:tc>
        <w:tc>
          <w:tcPr>
            <w:tcW w:w="1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5"/>
                <w:szCs w:val="15"/>
                <w:color w:val="auto"/>
              </w:rPr>
              <w:t>(201.7)</w:t>
            </w:r>
          </w:p>
        </w:tc>
        <w:tc>
          <w:tcPr>
            <w:tcW w:w="16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(193.0)</w:t>
            </w:r>
          </w:p>
        </w:tc>
        <w:tc>
          <w:tcPr>
            <w:tcW w:w="0" w:type="dxa"/>
            <w:vAlign w:val="bottom"/>
          </w:tcPr>
          <w:p>
            <w:pPr>
              <w:spacing w:after="0"/>
              <w:rPr>
                <w:sz w:val="1"/>
                <w:szCs w:val="1"/>
                <w:color w:val="auto"/>
              </w:rPr>
            </w:pPr>
          </w:p>
        </w:tc>
      </w:tr>
      <w:tr>
        <w:trPr>
          <w:trHeight w:val="202"/>
        </w:trPr>
        <w:tc>
          <w:tcPr>
            <w:tcW w:w="6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Income before income taxes</w:t>
            </w:r>
          </w:p>
        </w:tc>
        <w:tc>
          <w:tcPr>
            <w:tcW w:w="3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116.9</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147.1</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135.0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 w:type="dxa"/>
            <w:vAlign w:val="bottom"/>
            <w:tcBorders>
              <w:bottom w:val="single" w:sz="8" w:color="CCEEFF"/>
            </w:tcBorders>
          </w:tcPr>
          <w:p>
            <w:pPr>
              <w:spacing w:after="0"/>
              <w:rPr>
                <w:sz w:val="17"/>
                <w:szCs w:val="17"/>
                <w:color w:val="auto"/>
              </w:rPr>
            </w:pPr>
          </w:p>
        </w:tc>
        <w:tc>
          <w:tcPr>
            <w:tcW w:w="684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5"/>
                <w:szCs w:val="15"/>
                <w:color w:val="auto"/>
              </w:rPr>
              <w:t>Income tax (expense) benefit</w:t>
            </w: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(18.0)</w:t>
            </w:r>
          </w:p>
        </w:tc>
        <w:tc>
          <w:tcPr>
            <w:tcW w:w="1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5"/>
                <w:szCs w:val="15"/>
                <w:color w:val="auto"/>
              </w:rPr>
              <w:t>(134.6)</w:t>
            </w:r>
          </w:p>
        </w:tc>
        <w:tc>
          <w:tcPr>
            <w:tcW w:w="16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0.3</w:t>
            </w:r>
          </w:p>
        </w:tc>
        <w:tc>
          <w:tcPr>
            <w:tcW w:w="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income</w:t>
            </w:r>
          </w:p>
        </w:tc>
        <w:tc>
          <w:tcPr>
            <w:tcW w:w="3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98.9</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12.5</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135.3</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 w:type="dxa"/>
            <w:vAlign w:val="bottom"/>
            <w:tcBorders>
              <w:bottom w:val="single" w:sz="8" w:color="CCEEFF"/>
            </w:tcBorders>
          </w:tcPr>
          <w:p>
            <w:pPr>
              <w:spacing w:after="0"/>
              <w:rPr>
                <w:sz w:val="17"/>
                <w:szCs w:val="17"/>
                <w:color w:val="auto"/>
              </w:rPr>
            </w:pPr>
          </w:p>
        </w:tc>
        <w:tc>
          <w:tcPr>
            <w:tcW w:w="684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5"/>
                <w:szCs w:val="15"/>
                <w:color w:val="auto"/>
              </w:rPr>
              <w:t>Less: Net income attributable to non-controlling interests</w:t>
            </w: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(176.8)</w:t>
            </w:r>
          </w:p>
        </w:tc>
        <w:tc>
          <w:tcPr>
            <w:tcW w:w="1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5"/>
                <w:szCs w:val="15"/>
                <w:color w:val="auto"/>
              </w:rPr>
              <w:t>(180.6)</w:t>
            </w:r>
          </w:p>
        </w:tc>
        <w:tc>
          <w:tcPr>
            <w:tcW w:w="16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(147.2)</w:t>
            </w:r>
          </w:p>
        </w:tc>
        <w:tc>
          <w:tcPr>
            <w:tcW w:w="0" w:type="dxa"/>
            <w:vAlign w:val="bottom"/>
          </w:tcPr>
          <w:p>
            <w:pPr>
              <w:spacing w:after="0"/>
              <w:rPr>
                <w:sz w:val="1"/>
                <w:szCs w:val="1"/>
                <w:color w:val="auto"/>
              </w:rPr>
            </w:pPr>
          </w:p>
        </w:tc>
      </w:tr>
      <w:tr>
        <w:trPr>
          <w:trHeight w:val="222"/>
        </w:trPr>
        <w:tc>
          <w:tcPr>
            <w:tcW w:w="6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loss attributable to Surgery Partners, Inc.</w:t>
            </w:r>
          </w:p>
        </w:tc>
        <w:tc>
          <w:tcPr>
            <w:tcW w:w="32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(77.9)</w:t>
            </w:r>
          </w:p>
        </w:tc>
        <w:tc>
          <w:tcPr>
            <w:tcW w:w="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(168.1)</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w w:val="79"/>
              </w:rPr>
              <w:t>$</w:t>
            </w: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(11.9)</w:t>
            </w:r>
          </w:p>
        </w:tc>
        <w:tc>
          <w:tcPr>
            <w:tcW w:w="0" w:type="dxa"/>
            <w:vAlign w:val="bottom"/>
          </w:tcPr>
          <w:p>
            <w:pPr>
              <w:spacing w:after="0"/>
              <w:rPr>
                <w:sz w:val="1"/>
                <w:szCs w:val="1"/>
                <w:color w:val="auto"/>
              </w:rPr>
            </w:pPr>
          </w:p>
        </w:tc>
      </w:tr>
      <w:tr>
        <w:trPr>
          <w:trHeight w:val="20"/>
        </w:trPr>
        <w:tc>
          <w:tcPr>
            <w:tcW w:w="60" w:type="dxa"/>
            <w:vAlign w:val="bottom"/>
            <w:tcBorders>
              <w:top w:val="single" w:sz="8" w:color="CCEEFF"/>
            </w:tcBorders>
          </w:tcPr>
          <w:p>
            <w:pPr>
              <w:spacing w:after="0" w:line="20" w:lineRule="exact"/>
              <w:rPr>
                <w:sz w:val="1"/>
                <w:szCs w:val="1"/>
                <w:color w:val="auto"/>
              </w:rPr>
            </w:pPr>
          </w:p>
        </w:tc>
        <w:tc>
          <w:tcPr>
            <w:tcW w:w="6840" w:type="dxa"/>
            <w:vAlign w:val="bottom"/>
            <w:tcBorders>
              <w:top w:val="single" w:sz="8" w:color="CCEEFF"/>
              <w:bottom w:val="single" w:sz="8" w:color="CCEEFF"/>
            </w:tcBorders>
            <w:vMerge w:val="restart"/>
          </w:tcPr>
          <w:p>
            <w:pPr>
              <w:ind w:left="260"/>
              <w:spacing w:after="0"/>
              <w:rPr>
                <w:sz w:val="20"/>
                <w:szCs w:val="20"/>
                <w:color w:val="auto"/>
              </w:rPr>
            </w:pPr>
            <w:r>
              <w:rPr>
                <w:rFonts w:ascii="Times New Roman" w:cs="Times New Roman" w:eastAsia="Times New Roman" w:hAnsi="Times New Roman"/>
                <w:sz w:val="15"/>
                <w:szCs w:val="15"/>
                <w:i w:val="1"/>
                <w:iCs w:val="1"/>
                <w:color w:val="auto"/>
              </w:rPr>
              <w:t xml:space="preserve">Revenues. </w:t>
            </w:r>
            <w:r>
              <w:rPr>
                <w:rFonts w:ascii="Times New Roman" w:cs="Times New Roman" w:eastAsia="Times New Roman" w:hAnsi="Times New Roman"/>
                <w:sz w:val="15"/>
                <w:szCs w:val="15"/>
                <w:color w:val="auto"/>
              </w:rPr>
              <w:t>The following table sets forth revenues (in millions):</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8"/>
        </w:trPr>
        <w:tc>
          <w:tcPr>
            <w:tcW w:w="60" w:type="dxa"/>
            <w:vAlign w:val="bottom"/>
          </w:tcPr>
          <w:p>
            <w:pPr>
              <w:spacing w:after="0"/>
              <w:rPr>
                <w:sz w:val="24"/>
                <w:szCs w:val="24"/>
                <w:color w:val="auto"/>
              </w:rPr>
            </w:pPr>
          </w:p>
        </w:tc>
        <w:tc>
          <w:tcPr>
            <w:tcW w:w="68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60" w:type="dxa"/>
            <w:vAlign w:val="bottom"/>
          </w:tcPr>
          <w:p>
            <w:pPr>
              <w:spacing w:after="0"/>
              <w:rPr>
                <w:sz w:val="24"/>
                <w:szCs w:val="24"/>
                <w:color w:val="auto"/>
              </w:rPr>
            </w:pPr>
          </w:p>
        </w:tc>
        <w:tc>
          <w:tcPr>
            <w:tcW w:w="6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80" w:type="dxa"/>
            <w:vAlign w:val="bottom"/>
            <w:gridSpan w:val="8"/>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22"/>
        </w:trPr>
        <w:tc>
          <w:tcPr>
            <w:tcW w:w="6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60" w:type="dxa"/>
            <w:vAlign w:val="bottom"/>
          </w:tcPr>
          <w:p>
            <w:pPr>
              <w:spacing w:after="0"/>
              <w:rPr>
                <w:sz w:val="15"/>
                <w:szCs w:val="15"/>
                <w:color w:val="auto"/>
              </w:rPr>
            </w:pPr>
          </w:p>
        </w:tc>
        <w:tc>
          <w:tcPr>
            <w:tcW w:w="6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504"/>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543"/>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60" w:type="dxa"/>
            <w:vAlign w:val="bottom"/>
          </w:tcPr>
          <w:p>
            <w:pPr>
              <w:spacing w:after="0"/>
              <w:rPr>
                <w:sz w:val="12"/>
                <w:szCs w:val="12"/>
                <w:color w:val="auto"/>
              </w:rPr>
            </w:pPr>
          </w:p>
        </w:tc>
        <w:tc>
          <w:tcPr>
            <w:tcW w:w="6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60" w:type="dxa"/>
            <w:vAlign w:val="bottom"/>
          </w:tcPr>
          <w:p>
            <w:pPr>
              <w:spacing w:after="0"/>
              <w:rPr>
                <w:sz w:val="17"/>
                <w:szCs w:val="17"/>
                <w:color w:val="auto"/>
              </w:rPr>
            </w:pPr>
          </w:p>
        </w:tc>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Patient service revenues</w:t>
            </w:r>
          </w:p>
        </w:tc>
        <w:tc>
          <w:tcPr>
            <w:tcW w:w="3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3,226.3</w:t>
            </w:r>
          </w:p>
        </w:tc>
        <w:tc>
          <w:tcPr>
            <w:tcW w:w="42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3,054.4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 w:type="dxa"/>
            <w:vAlign w:val="bottom"/>
          </w:tcPr>
          <w:p>
            <w:pPr>
              <w:spacing w:after="0"/>
              <w:rPr>
                <w:sz w:val="17"/>
                <w:szCs w:val="17"/>
                <w:color w:val="auto"/>
              </w:rPr>
            </w:pPr>
          </w:p>
        </w:tc>
        <w:tc>
          <w:tcPr>
            <w:tcW w:w="6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Other service revenues</w:t>
            </w:r>
          </w:p>
        </w:tc>
        <w:tc>
          <w:tcPr>
            <w:tcW w:w="320" w:type="dxa"/>
            <w:vAlign w:val="bottom"/>
            <w:tcBorders>
              <w:bottom w:val="single" w:sz="8" w:color="CCEEFF"/>
            </w:tcBorders>
          </w:tcPr>
          <w:p>
            <w:pPr>
              <w:spacing w:after="0"/>
              <w:rPr>
                <w:sz w:val="17"/>
                <w:szCs w:val="17"/>
                <w:color w:val="auto"/>
              </w:rPr>
            </w:pPr>
          </w:p>
        </w:tc>
        <w:tc>
          <w:tcPr>
            <w:tcW w:w="7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82.4</w:t>
            </w:r>
          </w:p>
        </w:tc>
        <w:tc>
          <w:tcPr>
            <w:tcW w:w="40" w:type="dxa"/>
            <w:vAlign w:val="bottom"/>
            <w:tcBorders>
              <w:bottom w:val="single" w:sz="8" w:color="auto"/>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59.9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60" w:type="dxa"/>
            <w:vAlign w:val="bottom"/>
          </w:tcPr>
          <w:p>
            <w:pPr>
              <w:spacing w:after="0"/>
              <w:rPr>
                <w:sz w:val="19"/>
                <w:szCs w:val="19"/>
                <w:color w:val="auto"/>
              </w:rPr>
            </w:pPr>
          </w:p>
        </w:tc>
        <w:tc>
          <w:tcPr>
            <w:tcW w:w="6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Total revenues</w:t>
            </w:r>
          </w:p>
        </w:tc>
        <w:tc>
          <w:tcPr>
            <w:tcW w:w="3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3,308.7</w:t>
            </w:r>
          </w:p>
        </w:tc>
        <w:tc>
          <w:tcPr>
            <w:tcW w:w="42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3,114.3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8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jc w:val="both"/>
        <w:ind w:firstLine="309"/>
        <w:spacing w:after="0" w:line="273" w:lineRule="auto"/>
        <w:rPr>
          <w:sz w:val="20"/>
          <w:szCs w:val="20"/>
          <w:color w:val="auto"/>
        </w:rPr>
      </w:pPr>
      <w:r>
        <w:rPr>
          <w:rFonts w:ascii="Times New Roman" w:cs="Times New Roman" w:eastAsia="Times New Roman" w:hAnsi="Times New Roman"/>
          <w:sz w:val="15"/>
          <w:szCs w:val="15"/>
          <w:color w:val="auto"/>
        </w:rPr>
        <w:t>Patient service revenues increased 5.6% to $3,226.3 million for the year ended December 31, 2025 compared to $3,054.4 million for the year ended December 31, 2024. The increase was primarily driven by an 4.9% increase in days adjusted same-facility revenues and the net impact from acquisitions and divestitures completed during the year ended December 31, 2025. The increase in days adjusted same-facility revenues was attributable to a 3.4% increase in same-facility case volumes and a 1.4% increase in same-facility revenue per case.</w:t>
      </w:r>
    </w:p>
    <w:p>
      <w:pPr>
        <w:spacing w:after="0" w:line="245" w:lineRule="exact"/>
        <w:rPr>
          <w:sz w:val="20"/>
          <w:szCs w:val="20"/>
          <w:color w:val="auto"/>
        </w:rPr>
      </w:pPr>
    </w:p>
    <w:p>
      <w:pPr>
        <w:jc w:val="both"/>
        <w:ind w:firstLine="309"/>
        <w:spacing w:after="0" w:line="281" w:lineRule="auto"/>
        <w:rPr>
          <w:sz w:val="20"/>
          <w:szCs w:val="20"/>
          <w:color w:val="auto"/>
        </w:rPr>
      </w:pPr>
      <w:r>
        <w:rPr>
          <w:rFonts w:ascii="Times New Roman" w:cs="Times New Roman" w:eastAsia="Times New Roman" w:hAnsi="Times New Roman"/>
          <w:sz w:val="15"/>
          <w:szCs w:val="15"/>
          <w:i w:val="1"/>
          <w:iCs w:val="1"/>
          <w:color w:val="auto"/>
        </w:rPr>
        <w:t xml:space="preserve">Cost of Revenues. </w:t>
      </w:r>
      <w:r>
        <w:rPr>
          <w:rFonts w:ascii="Times New Roman" w:cs="Times New Roman" w:eastAsia="Times New Roman" w:hAnsi="Times New Roman"/>
          <w:sz w:val="15"/>
          <w:szCs w:val="15"/>
          <w:color w:val="auto"/>
        </w:rPr>
        <w:t>Cost of revenues was $2,543.7 million for the year ended December 31, 2025 compared to $2,368.7 million for the year ended December 31, 2024. The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increase was primarily driven by increased performance of high acuity procedures and acquisitions completed during the year ended December 31, 2025. As a percentage of revenues, cost of revenues was 76.9% and 76.1% for the years ended December 31, 2025 and 2024, respectively.</w:t>
      </w:r>
    </w:p>
    <w:p>
      <w:pPr>
        <w:spacing w:after="0" w:line="65" w:lineRule="exact"/>
        <w:rPr>
          <w:sz w:val="20"/>
          <w:szCs w:val="20"/>
          <w:color w:val="auto"/>
        </w:rPr>
      </w:pPr>
    </w:p>
    <w:p>
      <w:pPr>
        <w:jc w:val="both"/>
        <w:ind w:firstLine="309"/>
        <w:spacing w:after="0" w:line="272" w:lineRule="auto"/>
        <w:rPr>
          <w:sz w:val="20"/>
          <w:szCs w:val="20"/>
          <w:color w:val="auto"/>
        </w:rPr>
      </w:pPr>
      <w:r>
        <w:rPr>
          <w:rFonts w:ascii="Times New Roman" w:cs="Times New Roman" w:eastAsia="Times New Roman" w:hAnsi="Times New Roman"/>
          <w:sz w:val="15"/>
          <w:szCs w:val="15"/>
          <w:i w:val="1"/>
          <w:iCs w:val="1"/>
          <w:color w:val="auto"/>
        </w:rPr>
        <w:t xml:space="preserve">General and Administrative Expenses. </w:t>
      </w:r>
      <w:r>
        <w:rPr>
          <w:rFonts w:ascii="Times New Roman" w:cs="Times New Roman" w:eastAsia="Times New Roman" w:hAnsi="Times New Roman"/>
          <w:sz w:val="15"/>
          <w:szCs w:val="15"/>
          <w:color w:val="auto"/>
        </w:rPr>
        <w:t>General and administrative expenses were $118.2 million and $138.7 million for the years ended December 31, 2025 and 2024,</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respectively. As a percentage of revenues, general and administrative expenses were 3.6% and 4.5% for the years ended December 31, 2025 and 2024, respectively. The decrease in general and administrative expenses as a percentage of revenues was due to a decrease in executive incentive compensation during the year ended December 31, 2025.</w:t>
      </w:r>
    </w:p>
    <w:p>
      <w:pPr>
        <w:spacing w:after="0" w:line="71" w:lineRule="exact"/>
        <w:rPr>
          <w:sz w:val="20"/>
          <w:szCs w:val="20"/>
          <w:color w:val="auto"/>
        </w:rPr>
      </w:pPr>
    </w:p>
    <w:p>
      <w:pPr>
        <w:jc w:val="both"/>
        <w:ind w:firstLine="309"/>
        <w:spacing w:after="0" w:line="281" w:lineRule="auto"/>
        <w:rPr>
          <w:sz w:val="20"/>
          <w:szCs w:val="20"/>
          <w:color w:val="auto"/>
        </w:rPr>
      </w:pPr>
      <w:r>
        <w:rPr>
          <w:rFonts w:ascii="Times New Roman" w:cs="Times New Roman" w:eastAsia="Times New Roman" w:hAnsi="Times New Roman"/>
          <w:sz w:val="15"/>
          <w:szCs w:val="15"/>
          <w:i w:val="1"/>
          <w:iCs w:val="1"/>
          <w:color w:val="auto"/>
        </w:rPr>
        <w:t xml:space="preserve">Depreciation and Amortization. </w:t>
      </w:r>
      <w:r>
        <w:rPr>
          <w:rFonts w:ascii="Times New Roman" w:cs="Times New Roman" w:eastAsia="Times New Roman" w:hAnsi="Times New Roman"/>
          <w:sz w:val="15"/>
          <w:szCs w:val="15"/>
          <w:color w:val="auto"/>
        </w:rPr>
        <w:t>Depreciation and amortization expenses were $176.0 million and $152.6 million for the years ended December 31, 2025 and 2024, respectively.</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This increase was primarily due to accelerated depreciation recorded on certain long-lived assets as a result of the Company's portfolio management activities. As a percentage of revenues, depreciation and amortization expenses were 5.3% and 4.9% for the years ended December 31, 2025 and 2024, respectively.</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2"/>
          <w:szCs w:val="12"/>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ind w:firstLine="309"/>
        <w:spacing w:after="0" w:line="294" w:lineRule="auto"/>
        <w:rPr>
          <w:sz w:val="20"/>
          <w:szCs w:val="20"/>
          <w:color w:val="auto"/>
        </w:rPr>
      </w:pPr>
      <w:r>
        <w:rPr>
          <w:rFonts w:ascii="Times New Roman" w:cs="Times New Roman" w:eastAsia="Times New Roman" w:hAnsi="Times New Roman"/>
          <w:sz w:val="15"/>
          <w:szCs w:val="15"/>
          <w:i w:val="1"/>
          <w:iCs w:val="1"/>
          <w:color w:val="auto"/>
        </w:rPr>
        <w:t xml:space="preserve">Transaction and Integration Costs. </w:t>
      </w:r>
      <w:r>
        <w:rPr>
          <w:rFonts w:ascii="Times New Roman" w:cs="Times New Roman" w:eastAsia="Times New Roman" w:hAnsi="Times New Roman"/>
          <w:sz w:val="15"/>
          <w:szCs w:val="15"/>
          <w:color w:val="auto"/>
        </w:rPr>
        <w:t>We incurred $73.9 million of transaction and integration costs for the year ended December 31, 2025 compared to $100.1 million for the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year ended December 31, 2024. The costs for both periods primarily related to ongoing development initiatives and the integration of acquisitions.</w:t>
      </w:r>
    </w:p>
    <w:p>
      <w:pPr>
        <w:spacing w:after="0" w:line="54" w:lineRule="exact"/>
        <w:rPr>
          <w:sz w:val="20"/>
          <w:szCs w:val="20"/>
          <w:color w:val="auto"/>
        </w:rPr>
      </w:pPr>
    </w:p>
    <w:p>
      <w:pPr>
        <w:jc w:val="both"/>
        <w:ind w:firstLine="309"/>
        <w:spacing w:after="0" w:line="281" w:lineRule="auto"/>
        <w:rPr>
          <w:sz w:val="20"/>
          <w:szCs w:val="20"/>
          <w:color w:val="auto"/>
        </w:rPr>
      </w:pPr>
      <w:r>
        <w:rPr>
          <w:rFonts w:ascii="Times New Roman" w:cs="Times New Roman" w:eastAsia="Times New Roman" w:hAnsi="Times New Roman"/>
          <w:sz w:val="15"/>
          <w:szCs w:val="15"/>
          <w:i w:val="1"/>
          <w:iCs w:val="1"/>
          <w:color w:val="auto"/>
        </w:rPr>
        <w:t xml:space="preserve">Net Loss on Disposals, Consolidations and Deconsolidations. </w:t>
      </w:r>
      <w:r>
        <w:rPr>
          <w:rFonts w:ascii="Times New Roman" w:cs="Times New Roman" w:eastAsia="Times New Roman" w:hAnsi="Times New Roman"/>
          <w:sz w:val="15"/>
          <w:szCs w:val="15"/>
          <w:color w:val="auto"/>
        </w:rPr>
        <w:t>The net loss on disposals, consolidations and deconsolidations for the years ended December 31, 2025 and 2024</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includes activity discussed in Note 2. "Acquisitions, Disposals and Deconsolidations" of the accompanying notes to the consolidated financial statements. The remaining net loss in both periods was primarily attributable to sales and disposals of other assets.</w:t>
      </w:r>
    </w:p>
    <w:p>
      <w:pPr>
        <w:spacing w:after="0" w:line="52" w:lineRule="exact"/>
        <w:rPr>
          <w:sz w:val="20"/>
          <w:szCs w:val="20"/>
          <w:color w:val="auto"/>
        </w:rPr>
      </w:pPr>
    </w:p>
    <w:p>
      <w:pPr>
        <w:jc w:val="both"/>
        <w:ind w:firstLine="309"/>
        <w:spacing w:after="0" w:line="281" w:lineRule="auto"/>
        <w:rPr>
          <w:sz w:val="20"/>
          <w:szCs w:val="20"/>
          <w:color w:val="auto"/>
        </w:rPr>
      </w:pPr>
      <w:r>
        <w:rPr>
          <w:rFonts w:ascii="Times New Roman" w:cs="Times New Roman" w:eastAsia="Times New Roman" w:hAnsi="Times New Roman"/>
          <w:sz w:val="15"/>
          <w:szCs w:val="15"/>
          <w:i w:val="1"/>
          <w:iCs w:val="1"/>
          <w:color w:val="auto"/>
        </w:rPr>
        <w:t xml:space="preserve">Interest Expense, Net. </w:t>
      </w:r>
      <w:r>
        <w:rPr>
          <w:rFonts w:ascii="Times New Roman" w:cs="Times New Roman" w:eastAsia="Times New Roman" w:hAnsi="Times New Roman"/>
          <w:sz w:val="15"/>
          <w:szCs w:val="15"/>
          <w:color w:val="auto"/>
        </w:rPr>
        <w:t>Interest expense, net was $272.6 million for the year ended December 31, 2025 compared to $201.7 million for the year ended December 31, 2024. As a</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percentage of revenues, interest expense, net was 8.2% and 6.5% for the years ended December 31, 2025 and 2024, respectively. The increase in interest expense was primarily driven by the maturity of prior interest rate swaps in March 2025 and increased interest related to the incremental senior unsecured notes raised in 2024.</w:t>
      </w:r>
    </w:p>
    <w:p>
      <w:pPr>
        <w:spacing w:after="0" w:line="39" w:lineRule="exact"/>
        <w:rPr>
          <w:sz w:val="20"/>
          <w:szCs w:val="20"/>
          <w:color w:val="auto"/>
        </w:rPr>
      </w:pPr>
    </w:p>
    <w:p>
      <w:pPr>
        <w:ind w:right="20" w:firstLine="309"/>
        <w:spacing w:after="0" w:line="253" w:lineRule="auto"/>
        <w:rPr>
          <w:sz w:val="20"/>
          <w:szCs w:val="20"/>
          <w:color w:val="auto"/>
        </w:rPr>
      </w:pPr>
      <w:r>
        <w:rPr>
          <w:rFonts w:ascii="Times New Roman" w:cs="Times New Roman" w:eastAsia="Times New Roman" w:hAnsi="Times New Roman"/>
          <w:sz w:val="15"/>
          <w:szCs w:val="15"/>
          <w:i w:val="1"/>
          <w:iCs w:val="1"/>
          <w:color w:val="auto"/>
        </w:rPr>
        <w:t>Income Tax (Expense) Benefit</w:t>
      </w:r>
      <w:r>
        <w:rPr>
          <w:rFonts w:ascii="Times New Roman" w:cs="Times New Roman" w:eastAsia="Times New Roman" w:hAnsi="Times New Roman"/>
          <w:sz w:val="15"/>
          <w:szCs w:val="15"/>
          <w:color w:val="auto"/>
        </w:rPr>
        <w:t>. Income tax expense was $18.0 million for the year ended December 31, 2025 compared to income tax expense of $134.6 million for the year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ended December 31, 2024. The decrease in income tax expense was primarily driven by 2024 being the initial year the Company was in a cumulative three-year pre-tax loss position and thereby recorded a valuation allowance against its net operating loss carry-forward. The Company continued to be in a three year pre-tax loss position at December 31, 2025 and adjusted the existing valuation allowance on its net operating loss carry-forward and Section 163(j) carry-forward.</w:t>
      </w:r>
    </w:p>
    <w:p>
      <w:pPr>
        <w:spacing w:after="0" w:line="89" w:lineRule="exact"/>
        <w:rPr>
          <w:sz w:val="20"/>
          <w:szCs w:val="20"/>
          <w:color w:val="auto"/>
        </w:rPr>
      </w:pPr>
    </w:p>
    <w:p>
      <w:pPr>
        <w:jc w:val="both"/>
        <w:ind w:firstLine="309"/>
        <w:spacing w:after="0" w:line="289" w:lineRule="auto"/>
        <w:rPr>
          <w:sz w:val="20"/>
          <w:szCs w:val="20"/>
          <w:color w:val="auto"/>
        </w:rPr>
      </w:pPr>
      <w:r>
        <w:rPr>
          <w:rFonts w:ascii="Times New Roman" w:cs="Times New Roman" w:eastAsia="Times New Roman" w:hAnsi="Times New Roman"/>
          <w:sz w:val="15"/>
          <w:szCs w:val="15"/>
          <w:color w:val="auto"/>
        </w:rPr>
        <w:t>The effective tax rate was 15.4% and 91.5% for the years ended December 31, 2025 and 2024, respectively. See Note 9. "Income Taxes" for additional information related to the Company's effective tax rates for the years ended December 31, 2025 and December 31, 2024, including why these rates differed from the U.S. federal statutory rate of 21%.</w:t>
      </w:r>
    </w:p>
    <w:p>
      <w:pPr>
        <w:spacing w:after="0" w:line="58" w:lineRule="exact"/>
        <w:rPr>
          <w:sz w:val="20"/>
          <w:szCs w:val="20"/>
          <w:color w:val="auto"/>
        </w:rPr>
      </w:pPr>
    </w:p>
    <w:p>
      <w:pPr>
        <w:jc w:val="both"/>
        <w:ind w:firstLine="309"/>
        <w:spacing w:after="0" w:line="294" w:lineRule="auto"/>
        <w:rPr>
          <w:sz w:val="20"/>
          <w:szCs w:val="20"/>
          <w:color w:val="auto"/>
        </w:rPr>
      </w:pPr>
      <w:r>
        <w:rPr>
          <w:rFonts w:ascii="Times New Roman" w:cs="Times New Roman" w:eastAsia="Times New Roman" w:hAnsi="Times New Roman"/>
          <w:sz w:val="15"/>
          <w:szCs w:val="15"/>
          <w:i w:val="1"/>
          <w:iCs w:val="1"/>
          <w:color w:val="auto"/>
        </w:rPr>
        <w:t xml:space="preserve">Net Income Attributable to Non-Controlling Interests. </w:t>
      </w:r>
      <w:r>
        <w:rPr>
          <w:rFonts w:ascii="Times New Roman" w:cs="Times New Roman" w:eastAsia="Times New Roman" w:hAnsi="Times New Roman"/>
          <w:sz w:val="15"/>
          <w:szCs w:val="15"/>
          <w:color w:val="auto"/>
        </w:rPr>
        <w:t>As a percentage of revenues, net income attributable to non-controlling interests was 5.3% and 5.8% for the years ended</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December 31, 2025 and 2024, respectively.</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Comparison of Operating Results for the Year Ended December 31, 2024 to the Year Ended December 31, 2023</w:t>
      </w:r>
    </w:p>
    <w:p>
      <w:pPr>
        <w:spacing w:after="0" w:line="128" w:lineRule="exact"/>
        <w:rPr>
          <w:sz w:val="20"/>
          <w:szCs w:val="20"/>
          <w:color w:val="auto"/>
        </w:rPr>
      </w:pPr>
    </w:p>
    <w:p>
      <w:pPr>
        <w:jc w:val="both"/>
        <w:ind w:firstLine="309"/>
        <w:spacing w:after="0" w:line="269" w:lineRule="auto"/>
        <w:rPr>
          <w:sz w:val="20"/>
          <w:szCs w:val="20"/>
          <w:color w:val="auto"/>
        </w:rPr>
      </w:pPr>
      <w:r>
        <w:rPr>
          <w:rFonts w:ascii="Times New Roman" w:cs="Times New Roman" w:eastAsia="Times New Roman" w:hAnsi="Times New Roman"/>
          <w:sz w:val="15"/>
          <w:szCs w:val="15"/>
          <w:color w:val="auto"/>
        </w:rPr>
        <w:t xml:space="preserve">Our discussion regarding the comparison of the year ended December 31, 2024 compared to the year ended December 31, 2023 was previously disclosed beginning on page 35 in our Annual Report on Form 10-K for the year ended December 31, 2024, which was filed on March 7, 2025, under "Item 7. Management's Discussion and Analysis of Financial Condition and Results of Operations - Results of Operations - </w:t>
      </w:r>
      <w:r>
        <w:rPr>
          <w:rFonts w:ascii="Times New Roman" w:cs="Times New Roman" w:eastAsia="Times New Roman" w:hAnsi="Times New Roman"/>
          <w:sz w:val="15"/>
          <w:szCs w:val="15"/>
          <w:i w:val="1"/>
          <w:iCs w:val="1"/>
          <w:color w:val="auto"/>
        </w:rPr>
        <w:t>Year Ended December 31, 2024 Compared to Year Ended December 31, 2023</w:t>
      </w:r>
      <w:r>
        <w:rPr>
          <w:rFonts w:ascii="Times New Roman" w:cs="Times New Roman" w:eastAsia="Times New Roman" w:hAnsi="Times New Roman"/>
          <w:sz w:val="15"/>
          <w:szCs w:val="15"/>
          <w:color w:val="auto"/>
        </w:rPr>
        <w:t>" and is hereby incorporated herein by reference.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Liquidity and Capital Resources</w:t>
      </w:r>
    </w:p>
    <w:p>
      <w:pPr>
        <w:spacing w:after="0" w:line="12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Cash and cash equivalents were $239.9 million at December 31, 2025 compared to $269.5 million at December 31, 2024.</w:t>
      </w:r>
    </w:p>
    <w:p>
      <w:pPr>
        <w:spacing w:after="0" w:line="111" w:lineRule="exact"/>
        <w:rPr>
          <w:sz w:val="20"/>
          <w:szCs w:val="20"/>
          <w:color w:val="auto"/>
        </w:rPr>
      </w:pPr>
    </w:p>
    <w:p>
      <w:pPr>
        <w:jc w:val="both"/>
        <w:ind w:firstLine="309"/>
        <w:spacing w:after="0" w:line="279" w:lineRule="auto"/>
        <w:rPr>
          <w:sz w:val="20"/>
          <w:szCs w:val="20"/>
          <w:color w:val="auto"/>
        </w:rPr>
      </w:pPr>
      <w:r>
        <w:rPr>
          <w:rFonts w:ascii="Times New Roman" w:cs="Times New Roman" w:eastAsia="Times New Roman" w:hAnsi="Times New Roman"/>
          <w:sz w:val="15"/>
          <w:szCs w:val="15"/>
          <w:color w:val="auto"/>
        </w:rPr>
        <w:t>The primary source of our operating cash flows is the collection of accounts receivable from private insurance companies, federal and state agencies (under the Medicare and Medicaid programs) and individuals. Our cash flows provided by operating activities was $274.3 million for the year ended December 31, 2025 compared to $300.1 million for the year ended December 31, 2024. The $25.8 million decrease was primarily driven by operational growth and the timing of routine working capital.</w:t>
      </w:r>
    </w:p>
    <w:p>
      <w:pPr>
        <w:spacing w:after="0" w:line="56" w:lineRule="exact"/>
        <w:rPr>
          <w:sz w:val="20"/>
          <w:szCs w:val="20"/>
          <w:color w:val="auto"/>
        </w:rPr>
      </w:pPr>
    </w:p>
    <w:p>
      <w:pPr>
        <w:jc w:val="both"/>
        <w:ind w:firstLine="309"/>
        <w:spacing w:after="0" w:line="279" w:lineRule="auto"/>
        <w:rPr>
          <w:sz w:val="20"/>
          <w:szCs w:val="20"/>
          <w:color w:val="auto"/>
        </w:rPr>
      </w:pPr>
      <w:r>
        <w:rPr>
          <w:rFonts w:ascii="Times New Roman" w:cs="Times New Roman" w:eastAsia="Times New Roman" w:hAnsi="Times New Roman"/>
          <w:sz w:val="15"/>
          <w:szCs w:val="15"/>
          <w:color w:val="auto"/>
        </w:rPr>
        <w:t>Net cash used in investing activities for the year ended December 31, 2025 was $246.6 million compared to $488.5 million for the year ended December 31, 2024. The $241.9 million decrease was primarily driven by an aggregate net decrease of $205.1 million in payments for acquisitions (net of cash acquired) and purchases of equity method investments and a $43.9 million increase in proceeds from sales of facilities.</w:t>
      </w:r>
    </w:p>
    <w:p>
      <w:pPr>
        <w:spacing w:after="0" w:line="69" w:lineRule="exact"/>
        <w:rPr>
          <w:sz w:val="20"/>
          <w:szCs w:val="20"/>
          <w:color w:val="auto"/>
        </w:rPr>
      </w:pPr>
    </w:p>
    <w:p>
      <w:pPr>
        <w:jc w:val="both"/>
        <w:ind w:firstLine="309"/>
        <w:spacing w:after="0" w:line="269" w:lineRule="auto"/>
        <w:rPr>
          <w:sz w:val="20"/>
          <w:szCs w:val="20"/>
          <w:color w:val="auto"/>
        </w:rPr>
      </w:pPr>
      <w:r>
        <w:rPr>
          <w:rFonts w:ascii="Times New Roman" w:cs="Times New Roman" w:eastAsia="Times New Roman" w:hAnsi="Times New Roman"/>
          <w:sz w:val="15"/>
          <w:szCs w:val="15"/>
          <w:color w:val="auto"/>
        </w:rPr>
        <w:t>Net cash used in financing activities for the year ended December 31, 2025 was $57.3 million compared to net cash provided by financing activities of $262.0 million for the year ended December 31, 2024. The decrease of $319.3 million was primarily driven by the difference in the amount of net proceeds received from the issuance and sale of $425.0 million and $800.0 million in senior unsecured notes for the years ended December 31, 2025 and 2024, respectively. The remaining decrease was due to an increase in distributions to non-controlling interest holders of $55.5 million.</w:t>
      </w:r>
    </w:p>
    <w:p>
      <w:pPr>
        <w:spacing w:after="0" w:line="65" w:lineRule="exact"/>
        <w:rPr>
          <w:sz w:val="20"/>
          <w:szCs w:val="20"/>
          <w:color w:val="auto"/>
        </w:rPr>
      </w:pPr>
    </w:p>
    <w:p>
      <w:pPr>
        <w:jc w:val="both"/>
        <w:ind w:firstLine="309"/>
        <w:spacing w:after="0" w:line="279" w:lineRule="auto"/>
        <w:rPr>
          <w:sz w:val="20"/>
          <w:szCs w:val="20"/>
          <w:color w:val="auto"/>
        </w:rPr>
      </w:pPr>
      <w:r>
        <w:rPr>
          <w:rFonts w:ascii="Times New Roman" w:cs="Times New Roman" w:eastAsia="Times New Roman" w:hAnsi="Times New Roman"/>
          <w:sz w:val="15"/>
          <w:szCs w:val="15"/>
          <w:color w:val="auto"/>
        </w:rPr>
        <w:t>Discussion of the operating, investing and financing activities for the year ended December 31, 2024 was previously disclosed beginning on page 36 in our Annual Report on Form 10-K for the year ended December 31, 2024, which was filed on March 7, 2025, under "Item 7. Management's Discussion and Analysis of Financial Condition and Results of Operations - Liquidity and Capital Resources" and is hereby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2"/>
          <w:szCs w:val="12"/>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Debt</w:t>
      </w:r>
    </w:p>
    <w:p>
      <w:pPr>
        <w:spacing w:after="0" w:line="115" w:lineRule="exact"/>
        <w:rPr>
          <w:sz w:val="20"/>
          <w:szCs w:val="20"/>
          <w:color w:val="auto"/>
        </w:rPr>
      </w:pPr>
    </w:p>
    <w:p>
      <w:pPr>
        <w:jc w:val="both"/>
        <w:ind w:right="100" w:firstLine="309"/>
        <w:spacing w:after="0" w:line="264" w:lineRule="auto"/>
        <w:rPr>
          <w:sz w:val="20"/>
          <w:szCs w:val="20"/>
          <w:color w:val="auto"/>
        </w:rPr>
      </w:pPr>
      <w:r>
        <w:rPr>
          <w:rFonts w:ascii="Times New Roman" w:cs="Times New Roman" w:eastAsia="Times New Roman" w:hAnsi="Times New Roman"/>
          <w:sz w:val="15"/>
          <w:szCs w:val="15"/>
          <w:color w:val="auto"/>
        </w:rPr>
        <w:t>On August 13, 2025, the Company entered into the Second Amendment to the Credit Agreement (as defined below), which provides for a new tranche of term loans in an aggregate principal amount of $1.4 billion. The 2025 Refinancing Term Loans replace or refinance in full all of the existing term loans outstanding under the Credit Agreement (as in effect immediately prior to the Second Amendment), and refinance in full all of the existing revolving credit commitments and outstanding revolving loans under the Credit Agreement (as in effect immediately prior to the Second Amendment), all as further set forth in the Second Amendment. The 2025 Refinancing Term Loans mature on December 19, 2030 and the refinanced revolving credit commitments and refinanced revolving loans mature on December 19, 2028. The 2025 Refinancing Loans shall bear interest at a rate per annum equal to (x) the forward-looking term rate based on SOFR plus 2.50% per annum or (y) an alternate base rate (which will be the highest of (i) the prime rate, (ii) the federal funds effective rate plus 0.5% per annum and (iii) Term SOFR plus 1.00% per annum (which shall not be less than 1.00%)) plus 1.50% per annum. The 2025 Refinancing Term Loans amortize in equal quarterly installments of 0.25% of the aggregate original principal amount of the 2025 Refinancing Term Loans. Voluntary prepayments of the 2025 Refinancing Term Loans are permitted, in whole or in part, with prior notice, without premium or penalty.</w:t>
      </w:r>
    </w:p>
    <w:p>
      <w:pPr>
        <w:spacing w:after="0" w:line="71" w:lineRule="exact"/>
        <w:rPr>
          <w:sz w:val="20"/>
          <w:szCs w:val="20"/>
          <w:color w:val="auto"/>
        </w:rPr>
      </w:pPr>
    </w:p>
    <w:p>
      <w:pPr>
        <w:jc w:val="both"/>
        <w:ind w:right="100" w:firstLine="309"/>
        <w:spacing w:after="0" w:line="289" w:lineRule="auto"/>
        <w:rPr>
          <w:sz w:val="20"/>
          <w:szCs w:val="20"/>
          <w:color w:val="auto"/>
        </w:rPr>
      </w:pPr>
      <w:r>
        <w:rPr>
          <w:rFonts w:ascii="Times New Roman" w:cs="Times New Roman" w:eastAsia="Times New Roman" w:hAnsi="Times New Roman"/>
          <w:sz w:val="15"/>
          <w:szCs w:val="15"/>
          <w:color w:val="auto"/>
        </w:rPr>
        <w:t>On December 16, 2025, we completed the issuance and sale of $425.0 million in aggregate principal amount of senior unsecured notes due 2032 at 101.00% of the principal amount. The notes were issued as part of the same series as the existing 2032 Unsecured Notes originally issued in April 2024, and have the same terms.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Capital Resources</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Net working capital was approximately $535.2 million at December 31, 2025 compared to $495.0 million at December 31, 2024.</w:t>
      </w:r>
    </w:p>
    <w:p>
      <w:pPr>
        <w:spacing w:after="0" w:line="111" w:lineRule="exact"/>
        <w:rPr>
          <w:sz w:val="20"/>
          <w:szCs w:val="20"/>
          <w:color w:val="auto"/>
        </w:rPr>
      </w:pPr>
    </w:p>
    <w:p>
      <w:pPr>
        <w:jc w:val="both"/>
        <w:ind w:right="100" w:firstLine="309"/>
        <w:spacing w:after="0" w:line="307" w:lineRule="auto"/>
        <w:rPr>
          <w:sz w:val="20"/>
          <w:szCs w:val="20"/>
          <w:color w:val="auto"/>
        </w:rPr>
      </w:pPr>
      <w:r>
        <w:rPr>
          <w:rFonts w:ascii="Times New Roman" w:cs="Times New Roman" w:eastAsia="Times New Roman" w:hAnsi="Times New Roman"/>
          <w:sz w:val="15"/>
          <w:szCs w:val="15"/>
          <w:color w:val="auto"/>
        </w:rPr>
        <w:t>In addition to cash flows from operations and available cash, other sources of capital include amounts available on our Revolver as well as anticipated continued access to the capital markets.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Material Cash Requirements</w:t>
      </w:r>
    </w:p>
    <w:p>
      <w:pPr>
        <w:spacing w:after="0" w:line="1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 xml:space="preserve">The following table summarizes our </w:t>
      </w:r>
      <w:r>
        <w:rPr>
          <w:rFonts w:ascii="Times New Roman" w:cs="Times New Roman" w:eastAsia="Times New Roman" w:hAnsi="Times New Roman"/>
          <w:sz w:val="17"/>
          <w:szCs w:val="17"/>
          <w:color w:val="auto"/>
        </w:rPr>
        <w:t>material cash requirements</w:t>
      </w:r>
      <w:r>
        <w:rPr>
          <w:rFonts w:ascii="Times New Roman" w:cs="Times New Roman" w:eastAsia="Times New Roman" w:hAnsi="Times New Roman"/>
          <w:sz w:val="15"/>
          <w:szCs w:val="15"/>
          <w:color w:val="auto"/>
        </w:rPr>
        <w:t xml:space="preserve"> by period as of December 31, 2025 (in millions):</w:t>
      </w:r>
    </w:p>
    <w:p>
      <w:pPr>
        <w:spacing w:after="0" w:line="222" w:lineRule="exact"/>
        <w:rPr>
          <w:sz w:val="20"/>
          <w:szCs w:val="20"/>
          <w:color w:val="auto"/>
        </w:rPr>
      </w:pPr>
    </w:p>
    <w:tbl>
      <w:tblPr>
        <w:tblLayout w:type="fixed"/>
        <w:tblInd w:w="320" w:type="dxa"/>
        <w:tblCellMar>
          <w:top w:w="0" w:type="dxa"/>
          <w:left w:w="0" w:type="dxa"/>
          <w:bottom w:w="0" w:type="dxa"/>
          <w:right w:w="0" w:type="dxa"/>
        </w:tblCellMar>
      </w:tblPr>
      <w:tr>
        <w:trPr>
          <w:trHeight w:val="182"/>
        </w:trPr>
        <w:tc>
          <w:tcPr>
            <w:tcW w:w="4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Payments Due by Period</w:t>
            </w: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22"/>
        </w:trPr>
        <w:tc>
          <w:tcPr>
            <w:tcW w:w="4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r>
      <w:tr>
        <w:trPr>
          <w:trHeight w:val="344"/>
        </w:trPr>
        <w:tc>
          <w:tcPr>
            <w:tcW w:w="4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24"/>
                <w:szCs w:val="24"/>
                <w:color w:val="auto"/>
              </w:rPr>
            </w:pPr>
          </w:p>
        </w:tc>
        <w:tc>
          <w:tcPr>
            <w:tcW w:w="1100" w:type="dxa"/>
            <w:vAlign w:val="bottom"/>
          </w:tcPr>
          <w:p>
            <w:pPr>
              <w:jc w:val="right"/>
              <w:ind w:right="45"/>
              <w:spacing w:after="0"/>
              <w:rPr>
                <w:sz w:val="20"/>
                <w:szCs w:val="20"/>
                <w:color w:val="auto"/>
              </w:rPr>
            </w:pPr>
            <w:r>
              <w:rPr>
                <w:rFonts w:ascii="Times New Roman" w:cs="Times New Roman" w:eastAsia="Times New Roman" w:hAnsi="Times New Roman"/>
                <w:sz w:val="14"/>
                <w:szCs w:val="14"/>
                <w:b w:val="1"/>
                <w:bCs w:val="1"/>
                <w:color w:val="auto"/>
                <w:w w:val="98"/>
              </w:rPr>
              <w:t>Less than 1 year</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1-3 years</w:t>
            </w:r>
          </w:p>
        </w:tc>
        <w:tc>
          <w:tcPr>
            <w:tcW w:w="220" w:type="dxa"/>
            <w:vAlign w:val="bottom"/>
          </w:tcPr>
          <w:p>
            <w:pPr>
              <w:spacing w:after="0"/>
              <w:rPr>
                <w:sz w:val="24"/>
                <w:szCs w:val="24"/>
                <w:color w:val="auto"/>
              </w:rPr>
            </w:pP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4-5 years</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More than 5 yea</w:t>
            </w:r>
          </w:p>
        </w:tc>
      </w:tr>
      <w:tr>
        <w:trPr>
          <w:trHeight w:val="22"/>
        </w:trPr>
        <w:tc>
          <w:tcPr>
            <w:tcW w:w="4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135"/>
        </w:trPr>
        <w:tc>
          <w:tcPr>
            <w:tcW w:w="4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206"/>
        </w:trPr>
        <w:tc>
          <w:tcPr>
            <w:tcW w:w="4640" w:type="dxa"/>
            <w:vAlign w:val="bottom"/>
            <w:shd w:val="clear" w:color="auto" w:fill="CCEEFF"/>
          </w:tcPr>
          <w:p>
            <w:pPr>
              <w:spacing w:after="0" w:line="207" w:lineRule="exact"/>
              <w:rPr>
                <w:sz w:val="20"/>
                <w:szCs w:val="20"/>
                <w:color w:val="auto"/>
              </w:rPr>
            </w:pPr>
            <w:r>
              <w:rPr>
                <w:rFonts w:ascii="Times New Roman" w:cs="Times New Roman" w:eastAsia="Times New Roman" w:hAnsi="Times New Roman"/>
                <w:sz w:val="15"/>
                <w:szCs w:val="15"/>
                <w:color w:val="auto"/>
              </w:rPr>
              <w:t xml:space="preserve">Long-term debt obligations, including interest </w:t>
            </w:r>
            <w:r>
              <w:rPr>
                <w:rFonts w:ascii="Times New Roman" w:cs="Times New Roman" w:eastAsia="Times New Roman" w:hAnsi="Times New Roman"/>
                <w:sz w:val="20"/>
                <w:szCs w:val="20"/>
                <w:color w:val="auto"/>
                <w:vertAlign w:val="superscript"/>
              </w:rPr>
              <w:t>(1)</w:t>
            </w:r>
          </w:p>
        </w:tc>
        <w:tc>
          <w:tcPr>
            <w:tcW w:w="26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5,738.2</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0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349.2</w:t>
            </w: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651.2</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1,911.1</w:t>
            </w: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26"/>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2,826</w:t>
            </w:r>
          </w:p>
        </w:tc>
      </w:tr>
      <w:tr>
        <w:trPr>
          <w:trHeight w:val="206"/>
        </w:trPr>
        <w:tc>
          <w:tcPr>
            <w:tcW w:w="4640" w:type="dxa"/>
            <w:vAlign w:val="bottom"/>
            <w:tcBorders>
              <w:bottom w:val="single" w:sz="8" w:color="CCEEFF"/>
            </w:tcBorders>
          </w:tcPr>
          <w:p>
            <w:pPr>
              <w:spacing w:after="0" w:line="207" w:lineRule="exact"/>
              <w:rPr>
                <w:sz w:val="20"/>
                <w:szCs w:val="20"/>
                <w:color w:val="auto"/>
              </w:rPr>
            </w:pPr>
            <w:r>
              <w:rPr>
                <w:rFonts w:ascii="Times New Roman" w:cs="Times New Roman" w:eastAsia="Times New Roman" w:hAnsi="Times New Roman"/>
                <w:sz w:val="15"/>
                <w:szCs w:val="15"/>
                <w:color w:val="auto"/>
              </w:rPr>
              <w:t xml:space="preserve">Operating lease obligations, including interest </w:t>
            </w:r>
            <w:r>
              <w:rPr>
                <w:rFonts w:ascii="Times New Roman" w:cs="Times New Roman" w:eastAsia="Times New Roman" w:hAnsi="Times New Roman"/>
                <w:sz w:val="20"/>
                <w:szCs w:val="20"/>
                <w:color w:val="auto"/>
                <w:vertAlign w:val="superscript"/>
              </w:rPr>
              <w:t>(2)</w:t>
            </w: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5"/>
                <w:szCs w:val="15"/>
                <w:color w:val="auto"/>
              </w:rPr>
              <w:t>471.6</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5"/>
                <w:szCs w:val="15"/>
                <w:color w:val="auto"/>
              </w:rPr>
              <w:t>64.9</w:t>
            </w:r>
          </w:p>
        </w:tc>
        <w:tc>
          <w:tcPr>
            <w:tcW w:w="1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5"/>
                <w:szCs w:val="15"/>
                <w:color w:val="auto"/>
              </w:rPr>
              <w:t>103.7</w:t>
            </w:r>
          </w:p>
        </w:tc>
        <w:tc>
          <w:tcPr>
            <w:tcW w:w="1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77.0</w:t>
            </w:r>
          </w:p>
        </w:tc>
        <w:tc>
          <w:tcPr>
            <w:tcW w:w="14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226</w:t>
            </w:r>
          </w:p>
        </w:tc>
      </w:tr>
      <w:tr>
        <w:trPr>
          <w:trHeight w:val="219"/>
        </w:trPr>
        <w:tc>
          <w:tcPr>
            <w:tcW w:w="4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Total contractual obligations</w:t>
            </w:r>
          </w:p>
        </w:tc>
        <w:tc>
          <w:tcPr>
            <w:tcW w:w="26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6,209.8</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0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414.1</w:t>
            </w: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754.9</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1,988.1</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26"/>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3,052</w:t>
            </w: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left="240" w:right="100" w:hanging="237"/>
        <w:spacing w:after="0" w:line="261" w:lineRule="auto"/>
        <w:tabs>
          <w:tab w:leader="none" w:pos="238"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Included in long-term debt obligations are principal and interest owed on our outstanding debt obligations. These amounts exclude our unamortized fair value adjustments related non-cash amortization for the Term Loan. These obligations are explained further in Note 5. "Long-Term Debt" to our consolidated financial statements included elsewhere in this Annual Report. We used the applicable annual interest rate as of December 31, 2025 of 6.22%, based on SOFR plus the applicable margin, for our $1.4 billion outstanding Term Loan to estimate interest payments on this variable rate debt instrument.</w:t>
      </w:r>
    </w:p>
    <w:p>
      <w:pPr>
        <w:spacing w:after="0" w:line="39" w:lineRule="exact"/>
        <w:rPr>
          <w:rFonts w:ascii="Times New Roman" w:cs="Times New Roman" w:eastAsia="Times New Roman" w:hAnsi="Times New Roman"/>
          <w:sz w:val="12"/>
          <w:szCs w:val="12"/>
          <w:color w:val="auto"/>
        </w:rPr>
      </w:pPr>
    </w:p>
    <w:p>
      <w:pPr>
        <w:jc w:val="both"/>
        <w:ind w:left="240" w:right="100" w:hanging="237"/>
        <w:spacing w:after="0" w:line="256" w:lineRule="auto"/>
        <w:tabs>
          <w:tab w:leader="none" w:pos="238"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reflects our future operating lease payments. We enter into operating leases in the normal course of business. Substantially all of our operating lease agreements have fixed payment terms based on the passage of time. Some lease agreements provide us with the option to renew the lease. Our future operating lease obligations would change if we exercised these renewal options and if we entered into additional operating lease agreements. These obligations are explained further in Note 6. "Leases" to our consolidated financial statements included elsewhere in this Annual Report. Operating lease obligations do not include common area maintenance, insurance or tax payments for which we are also obligated to pay.</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Summary</w:t>
      </w:r>
    </w:p>
    <w:p>
      <w:pPr>
        <w:spacing w:after="0" w:line="128" w:lineRule="exact"/>
        <w:rPr>
          <w:sz w:val="20"/>
          <w:szCs w:val="20"/>
          <w:color w:val="auto"/>
        </w:rPr>
      </w:pPr>
    </w:p>
    <w:p>
      <w:pPr>
        <w:jc w:val="both"/>
        <w:ind w:right="100" w:firstLine="309"/>
        <w:spacing w:after="0" w:line="270" w:lineRule="auto"/>
        <w:rPr>
          <w:sz w:val="20"/>
          <w:szCs w:val="20"/>
          <w:color w:val="auto"/>
        </w:rPr>
      </w:pPr>
      <w:r>
        <w:rPr>
          <w:rFonts w:ascii="Times New Roman" w:cs="Times New Roman" w:eastAsia="Times New Roman" w:hAnsi="Times New Roman"/>
          <w:sz w:val="15"/>
          <w:szCs w:val="15"/>
          <w:color w:val="auto"/>
        </w:rPr>
        <w:t>Broad economic factors, including recent changes in interest rates, inflation and supply chain risks and market volatility, could negatively affect our payor mix, increase the relative proportion of lower margin services we provide and reduce patient volumes, as well as diminish our ability to collect outstanding receivables. Any increase in the amount or deterioration in the collectability of patient accounts receivable will adversely affect our cash flows and results of operations, requiring an increased level of working capital.</w:t>
      </w:r>
    </w:p>
    <w:p>
      <w:pPr>
        <w:spacing w:after="0" w:line="75" w:lineRule="exact"/>
        <w:rPr>
          <w:sz w:val="20"/>
          <w:szCs w:val="20"/>
          <w:color w:val="auto"/>
        </w:rPr>
      </w:pPr>
    </w:p>
    <w:p>
      <w:pPr>
        <w:jc w:val="both"/>
        <w:ind w:right="100" w:firstLine="309"/>
        <w:spacing w:after="0" w:line="289" w:lineRule="auto"/>
        <w:rPr>
          <w:sz w:val="20"/>
          <w:szCs w:val="20"/>
          <w:color w:val="auto"/>
        </w:rPr>
      </w:pPr>
      <w:r>
        <w:rPr>
          <w:rFonts w:ascii="Times New Roman" w:cs="Times New Roman" w:eastAsia="Times New Roman" w:hAnsi="Times New Roman"/>
          <w:sz w:val="15"/>
          <w:szCs w:val="15"/>
          <w:color w:val="auto"/>
        </w:rPr>
        <w:t>If general economic conditions, including recent changes in interest rates, inflation risk and market volatility, continue to deteriorate or remain uncertain for an extended period of time, our ability to access capital could be harmed, which could negatively affect our liquidity and ability to repay our outstanding debt.</w:t>
      </w:r>
    </w:p>
    <w:p>
      <w:pPr>
        <w:spacing w:after="0" w:line="62" w:lineRule="exact"/>
        <w:rPr>
          <w:sz w:val="20"/>
          <w:szCs w:val="20"/>
          <w:color w:val="auto"/>
        </w:rPr>
      </w:pPr>
    </w:p>
    <w:p>
      <w:pPr>
        <w:jc w:val="both"/>
        <w:ind w:right="100" w:firstLine="309"/>
        <w:spacing w:after="0" w:line="289" w:lineRule="auto"/>
        <w:rPr>
          <w:sz w:val="20"/>
          <w:szCs w:val="20"/>
          <w:color w:val="auto"/>
        </w:rPr>
      </w:pPr>
      <w:r>
        <w:rPr>
          <w:rFonts w:ascii="Times New Roman" w:cs="Times New Roman" w:eastAsia="Times New Roman" w:hAnsi="Times New Roman"/>
          <w:sz w:val="15"/>
          <w:szCs w:val="15"/>
          <w:color w:val="auto"/>
        </w:rPr>
        <w:t>Based on our current level of operations, we believe cash flows from operations, available cash, available capacity on our Revolver and continued anticipated access to capital markets, will be adequate to meet our short-term (i.e., 12 months) and long-term (beyond 12 months) liquidity needs.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Certain Non-GAAP Measures</w:t>
      </w:r>
    </w:p>
    <w:p>
      <w:pPr>
        <w:spacing w:after="0" w:line="128" w:lineRule="exact"/>
        <w:rPr>
          <w:sz w:val="20"/>
          <w:szCs w:val="20"/>
          <w:color w:val="auto"/>
        </w:rPr>
      </w:pPr>
    </w:p>
    <w:p>
      <w:pPr>
        <w:jc w:val="both"/>
        <w:ind w:right="100" w:firstLine="309"/>
        <w:spacing w:after="0" w:line="289" w:lineRule="auto"/>
        <w:rPr>
          <w:sz w:val="20"/>
          <w:szCs w:val="20"/>
          <w:color w:val="auto"/>
        </w:rPr>
      </w:pPr>
      <w:r>
        <w:rPr>
          <w:rFonts w:ascii="Times New Roman" w:cs="Times New Roman" w:eastAsia="Times New Roman" w:hAnsi="Times New Roman"/>
          <w:sz w:val="15"/>
          <w:szCs w:val="15"/>
          <w:color w:val="auto"/>
        </w:rPr>
        <w:t>Adjusted EBITDA is not a measurement of financial performance under GAAP and should not be considered in isolation or as a substitute for net income, operating income or any other measure calculated in accordance with GAAP. The items excluded from this non-</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40"/>
          </w:cols>
          <w:pgMar w:left="320" w:top="120" w:right="2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2"/>
          <w:szCs w:val="12"/>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5"/>
          <w:szCs w:val="15"/>
          <w:color w:val="auto"/>
        </w:rPr>
        <w:t>GAAP metric are significant components in understanding and evaluating our financial performance. We believe such adjustments are appropriate, as the magnitude and frequency of such items can vary significantly and are not related to the assessment of normal operating performance. Our calculation of Adjusted EBITDA may not be comparable to similarly titled measures reported by other companies. We use Adjusted EBITDA as a measure of financial performance. Adjusted EBITDA is a key measure used by our management to assess operating performance, make business decisions and allocate resources.</w:t>
      </w:r>
    </w:p>
    <w:p>
      <w:pPr>
        <w:spacing w:after="0" w:line="7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The following table reconciles Adjusted EBITDA to income before income taxes, the most directly comparable GAAP financial measure (in millions and unaudited):</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6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2"/>
        </w:trPr>
        <w:tc>
          <w:tcPr>
            <w:tcW w:w="66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81"/>
        </w:trPr>
        <w:tc>
          <w:tcPr>
            <w:tcW w:w="662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bottom w:val="single" w:sz="8" w:color="auto"/>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4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4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2"/>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Consolidated Statements of Operations Data:</w:t>
            </w:r>
          </w:p>
        </w:tc>
        <w:tc>
          <w:tcPr>
            <w:tcW w:w="9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203"/>
        </w:trPr>
        <w:tc>
          <w:tcPr>
            <w:tcW w:w="66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Income before income taxes</w:t>
            </w:r>
          </w:p>
        </w:tc>
        <w:tc>
          <w:tcPr>
            <w:tcW w:w="960" w:type="dxa"/>
            <w:vAlign w:val="bottom"/>
          </w:tcPr>
          <w:p>
            <w:pPr>
              <w:jc w:val="right"/>
              <w:ind w:right="786"/>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116.9</w:t>
            </w:r>
          </w:p>
        </w:tc>
        <w:tc>
          <w:tcPr>
            <w:tcW w:w="50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147.1</w:t>
            </w:r>
          </w:p>
        </w:tc>
        <w:tc>
          <w:tcPr>
            <w:tcW w:w="140" w:type="dxa"/>
            <w:vAlign w:val="bottom"/>
          </w:tcPr>
          <w:p>
            <w:pPr>
              <w:spacing w:after="0"/>
              <w:rPr>
                <w:sz w:val="17"/>
                <w:szCs w:val="17"/>
                <w:color w:val="auto"/>
              </w:rPr>
            </w:pPr>
          </w:p>
        </w:tc>
        <w:tc>
          <w:tcPr>
            <w:tcW w:w="30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135.0</w:t>
            </w:r>
          </w:p>
        </w:tc>
      </w:tr>
      <w:tr>
        <w:trPr>
          <w:trHeight w:val="209"/>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i w:val="1"/>
                <w:iCs w:val="1"/>
                <w:color w:val="auto"/>
              </w:rPr>
              <w:t>Plus (minus):</w:t>
            </w: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03"/>
        </w:trPr>
        <w:tc>
          <w:tcPr>
            <w:tcW w:w="66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Net income attributable to non-controlling interests</w:t>
            </w:r>
          </w:p>
        </w:tc>
        <w:tc>
          <w:tcPr>
            <w:tcW w:w="9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(176.8)</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(180.6)</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(147.2)</w:t>
            </w:r>
          </w:p>
        </w:tc>
      </w:tr>
      <w:tr>
        <w:trPr>
          <w:trHeight w:val="209"/>
        </w:trPr>
        <w:tc>
          <w:tcPr>
            <w:tcW w:w="6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176.0</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152.6</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118.1</w:t>
            </w:r>
          </w:p>
        </w:tc>
      </w:tr>
      <w:tr>
        <w:trPr>
          <w:trHeight w:val="203"/>
        </w:trPr>
        <w:tc>
          <w:tcPr>
            <w:tcW w:w="66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Interest expense, net</w:t>
            </w:r>
          </w:p>
        </w:tc>
        <w:tc>
          <w:tcPr>
            <w:tcW w:w="9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272.6</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201.7</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193.0</w:t>
            </w:r>
          </w:p>
        </w:tc>
      </w:tr>
      <w:tr>
        <w:trPr>
          <w:trHeight w:val="209"/>
        </w:trPr>
        <w:tc>
          <w:tcPr>
            <w:tcW w:w="6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Equity-based compensation expense</w:t>
            </w: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14.8</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33.3</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17.7</w:t>
            </w:r>
          </w:p>
        </w:tc>
      </w:tr>
      <w:tr>
        <w:trPr>
          <w:trHeight w:val="206"/>
        </w:trPr>
        <w:tc>
          <w:tcPr>
            <w:tcW w:w="6620" w:type="dxa"/>
            <w:vAlign w:val="bottom"/>
          </w:tcPr>
          <w:p>
            <w:pPr>
              <w:ind w:left="220"/>
              <w:spacing w:after="0" w:line="207" w:lineRule="exact"/>
              <w:rPr>
                <w:sz w:val="20"/>
                <w:szCs w:val="20"/>
                <w:color w:val="auto"/>
              </w:rPr>
            </w:pPr>
            <w:r>
              <w:rPr>
                <w:rFonts w:ascii="Times New Roman" w:cs="Times New Roman" w:eastAsia="Times New Roman" w:hAnsi="Times New Roman"/>
                <w:sz w:val="15"/>
                <w:szCs w:val="15"/>
                <w:color w:val="auto"/>
              </w:rPr>
              <w:t xml:space="preserve">Transaction, integration and acquisition costs </w:t>
            </w:r>
            <w:r>
              <w:rPr>
                <w:rFonts w:ascii="Times New Roman" w:cs="Times New Roman" w:eastAsia="Times New Roman" w:hAnsi="Times New Roman"/>
                <w:sz w:val="20"/>
                <w:szCs w:val="20"/>
                <w:color w:val="auto"/>
                <w:vertAlign w:val="superscript"/>
              </w:rPr>
              <w:t>(1)</w:t>
            </w:r>
          </w:p>
        </w:tc>
        <w:tc>
          <w:tcPr>
            <w:tcW w:w="9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73.9</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100.1</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61.7</w:t>
            </w:r>
          </w:p>
        </w:tc>
      </w:tr>
      <w:tr>
        <w:trPr>
          <w:trHeight w:val="206"/>
        </w:trPr>
        <w:tc>
          <w:tcPr>
            <w:tcW w:w="6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De novo start-up costs</w:t>
            </w:r>
          </w:p>
        </w:tc>
        <w:tc>
          <w:tcPr>
            <w:tcW w:w="96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6.7</w:t>
            </w: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7.9</w:t>
            </w: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w:t>
            </w:r>
          </w:p>
        </w:tc>
      </w:tr>
      <w:tr>
        <w:trPr>
          <w:trHeight w:val="203"/>
        </w:trPr>
        <w:tc>
          <w:tcPr>
            <w:tcW w:w="66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Net loss on disposals, consolidations and deconsolidations</w:t>
            </w:r>
          </w:p>
        </w:tc>
        <w:tc>
          <w:tcPr>
            <w:tcW w:w="9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30.4</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40.6</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14.4</w:t>
            </w:r>
          </w:p>
        </w:tc>
      </w:tr>
      <w:tr>
        <w:trPr>
          <w:trHeight w:val="209"/>
        </w:trPr>
        <w:tc>
          <w:tcPr>
            <w:tcW w:w="6620" w:type="dxa"/>
            <w:vAlign w:val="bottom"/>
            <w:shd w:val="clear" w:color="auto" w:fill="CCEEFF"/>
          </w:tcPr>
          <w:p>
            <w:pPr>
              <w:ind w:left="220"/>
              <w:spacing w:after="0" w:line="209" w:lineRule="exact"/>
              <w:rPr>
                <w:sz w:val="20"/>
                <w:szCs w:val="20"/>
                <w:color w:val="auto"/>
              </w:rPr>
            </w:pPr>
            <w:r>
              <w:rPr>
                <w:rFonts w:ascii="Times New Roman" w:cs="Times New Roman" w:eastAsia="Times New Roman" w:hAnsi="Times New Roman"/>
                <w:sz w:val="15"/>
                <w:szCs w:val="15"/>
                <w:color w:val="auto"/>
              </w:rPr>
              <w:t xml:space="preserve">Litigation settlements and regulatory change impact </w:t>
            </w:r>
            <w:r>
              <w:rPr>
                <w:rFonts w:ascii="Times New Roman" w:cs="Times New Roman" w:eastAsia="Times New Roman" w:hAnsi="Times New Roman"/>
                <w:sz w:val="20"/>
                <w:szCs w:val="20"/>
                <w:color w:val="auto"/>
                <w:vertAlign w:val="superscript"/>
              </w:rPr>
              <w:t>(2)</w:t>
            </w: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10.4</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17.5</w:t>
            </w:r>
          </w:p>
        </w:tc>
      </w:tr>
      <w:tr>
        <w:trPr>
          <w:trHeight w:val="203"/>
        </w:trPr>
        <w:tc>
          <w:tcPr>
            <w:tcW w:w="66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Loss on debt extinguishment</w:t>
            </w:r>
          </w:p>
        </w:tc>
        <w:tc>
          <w:tcPr>
            <w:tcW w:w="9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5.1</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15.5</w:t>
            </w:r>
          </w:p>
        </w:tc>
      </w:tr>
      <w:tr>
        <w:trPr>
          <w:trHeight w:val="209"/>
        </w:trPr>
        <w:tc>
          <w:tcPr>
            <w:tcW w:w="6620" w:type="dxa"/>
            <w:vAlign w:val="bottom"/>
            <w:shd w:val="clear" w:color="auto" w:fill="CCEEFF"/>
          </w:tcPr>
          <w:p>
            <w:pPr>
              <w:ind w:left="220"/>
              <w:spacing w:after="0" w:line="209" w:lineRule="exact"/>
              <w:rPr>
                <w:sz w:val="20"/>
                <w:szCs w:val="20"/>
                <w:color w:val="auto"/>
              </w:rPr>
            </w:pPr>
            <w:r>
              <w:rPr>
                <w:rFonts w:ascii="Times New Roman" w:cs="Times New Roman" w:eastAsia="Times New Roman" w:hAnsi="Times New Roman"/>
                <w:sz w:val="15"/>
                <w:szCs w:val="15"/>
                <w:color w:val="auto"/>
              </w:rPr>
              <w:t xml:space="preserve">Undesignated derivative activity </w:t>
            </w:r>
            <w:r>
              <w:rPr>
                <w:rFonts w:ascii="Times New Roman" w:cs="Times New Roman" w:eastAsia="Times New Roman" w:hAnsi="Times New Roman"/>
                <w:sz w:val="20"/>
                <w:szCs w:val="20"/>
                <w:color w:val="auto"/>
                <w:vertAlign w:val="superscript"/>
              </w:rPr>
              <w:t>(3)</w:t>
            </w: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0.6</w:t>
            </w:r>
          </w:p>
        </w:tc>
      </w:tr>
      <w:tr>
        <w:trPr>
          <w:trHeight w:val="206"/>
        </w:trPr>
        <w:tc>
          <w:tcPr>
            <w:tcW w:w="6620" w:type="dxa"/>
            <w:vAlign w:val="bottom"/>
            <w:tcBorders>
              <w:bottom w:val="single" w:sz="8" w:color="CCEEFF"/>
            </w:tcBorders>
          </w:tcPr>
          <w:p>
            <w:pPr>
              <w:ind w:left="220"/>
              <w:spacing w:after="0" w:line="207" w:lineRule="exact"/>
              <w:rPr>
                <w:sz w:val="20"/>
                <w:szCs w:val="20"/>
                <w:color w:val="auto"/>
              </w:rPr>
            </w:pPr>
            <w:r>
              <w:rPr>
                <w:rFonts w:ascii="Times New Roman" w:cs="Times New Roman" w:eastAsia="Times New Roman" w:hAnsi="Times New Roman"/>
                <w:sz w:val="15"/>
                <w:szCs w:val="15"/>
                <w:color w:val="auto"/>
              </w:rPr>
              <w:t xml:space="preserve">Other </w:t>
            </w:r>
            <w:r>
              <w:rPr>
                <w:rFonts w:ascii="Times New Roman" w:cs="Times New Roman" w:eastAsia="Times New Roman" w:hAnsi="Times New Roman"/>
                <w:sz w:val="20"/>
                <w:szCs w:val="20"/>
                <w:color w:val="auto"/>
                <w:vertAlign w:val="superscript"/>
              </w:rPr>
              <w:t>(4)</w:t>
            </w:r>
          </w:p>
        </w:tc>
        <w:tc>
          <w:tcPr>
            <w:tcW w:w="9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(2.7)</w:t>
            </w:r>
          </w:p>
        </w:tc>
        <w:tc>
          <w:tcPr>
            <w:tcW w:w="1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8.6</w:t>
            </w:r>
          </w:p>
        </w:tc>
      </w:tr>
      <w:tr>
        <w:trPr>
          <w:trHeight w:val="219"/>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Adjusted EBITDA</w:t>
            </w:r>
          </w:p>
        </w:tc>
        <w:tc>
          <w:tcPr>
            <w:tcW w:w="960" w:type="dxa"/>
            <w:vAlign w:val="bottom"/>
            <w:shd w:val="clear" w:color="auto" w:fill="CCEEFF"/>
          </w:tcPr>
          <w:p>
            <w:pPr>
              <w:jc w:val="right"/>
              <w:ind w:right="786"/>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526.2</w:t>
            </w:r>
          </w:p>
        </w:tc>
        <w:tc>
          <w:tcPr>
            <w:tcW w:w="5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508.2</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438.1</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left="240" w:hanging="237"/>
        <w:spacing w:after="0" w:line="261" w:lineRule="auto"/>
        <w:tabs>
          <w:tab w:leader="none" w:pos="238"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amount includes diligence, transaction and integration costs related to acquisitions (both completed and in the pipeline) and divested facilities (collectively "M&amp;A costs") of $55.2 million, $76.4 million and $49.3 million for the years ended December 31, 2025, 2024 and 2023, respectively. This amount also includes other costs, including severance, IT implementation, and revenue cycle standardization of $18.7 million, $23.7 million and $12.4 million for the years ended December 31, 2025, 2024 and 2023, respectively.</w:t>
      </w:r>
    </w:p>
    <w:p>
      <w:pPr>
        <w:spacing w:after="0" w:line="26" w:lineRule="exact"/>
        <w:rPr>
          <w:rFonts w:ascii="Times New Roman" w:cs="Times New Roman" w:eastAsia="Times New Roman" w:hAnsi="Times New Roman"/>
          <w:sz w:val="12"/>
          <w:szCs w:val="12"/>
          <w:color w:val="auto"/>
        </w:rPr>
      </w:pPr>
    </w:p>
    <w:p>
      <w:pPr>
        <w:jc w:val="both"/>
        <w:ind w:left="240" w:hanging="237"/>
        <w:spacing w:after="0" w:line="272" w:lineRule="auto"/>
        <w:tabs>
          <w:tab w:leader="none" w:pos="238"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amount includes a net litigation settlements loss (gain) of $7.3 million, $(0.8) million and $10.6 million for the years ended December 31, 2025, 2024 and 2023, respectively. This amount also includes other litigation costs of $3.1 million, $3.9 million and $2.5 million for the years ended December 31, 2025, 2024 and 2023, respectively. Additionally, the year ended December 31, 2023, includes $4.4 million related to the impact of changes in Florida law regarding the use of letters of protection.</w:t>
      </w:r>
    </w:p>
    <w:p>
      <w:pPr>
        <w:spacing w:after="0" w:line="20" w:lineRule="exact"/>
        <w:rPr>
          <w:rFonts w:ascii="Times New Roman" w:cs="Times New Roman" w:eastAsia="Times New Roman" w:hAnsi="Times New Roman"/>
          <w:sz w:val="12"/>
          <w:szCs w:val="12"/>
          <w:color w:val="auto"/>
        </w:rPr>
      </w:pPr>
    </w:p>
    <w:p>
      <w:pPr>
        <w:ind w:left="240" w:hanging="237"/>
        <w:spacing w:after="0"/>
        <w:tabs>
          <w:tab w:leader="none" w:pos="240"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amount includes fair value changes of undesignated derivatives for the year ended December 31, 2023.</w:t>
      </w:r>
    </w:p>
    <w:p>
      <w:pPr>
        <w:spacing w:after="0" w:line="55" w:lineRule="exact"/>
        <w:rPr>
          <w:rFonts w:ascii="Times New Roman" w:cs="Times New Roman" w:eastAsia="Times New Roman" w:hAnsi="Times New Roman"/>
          <w:sz w:val="12"/>
          <w:szCs w:val="12"/>
          <w:color w:val="auto"/>
        </w:rPr>
      </w:pPr>
    </w:p>
    <w:p>
      <w:pPr>
        <w:ind w:left="240" w:hanging="237"/>
        <w:spacing w:after="0" w:line="276" w:lineRule="auto"/>
        <w:tabs>
          <w:tab w:leader="none" w:pos="238"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the year ended December 31, 2024, this amount includes hurricane-related impacts, net of insurance proceeds related to cyber event losses predominantly incurred in 2023. For the year ended December 31, 2023, this amount includes estimates for the net impact of the May 2023 cyber event and losses from a divested business.</w:t>
      </w:r>
    </w:p>
    <w:p>
      <w:pPr>
        <w:spacing w:after="0" w:line="177" w:lineRule="exact"/>
        <w:rPr>
          <w:sz w:val="20"/>
          <w:szCs w:val="20"/>
          <w:color w:val="auto"/>
        </w:rPr>
      </w:pPr>
    </w:p>
    <w:p>
      <w:pPr>
        <w:jc w:val="both"/>
        <w:ind w:firstLine="309"/>
        <w:spacing w:after="0" w:line="269" w:lineRule="auto"/>
        <w:rPr>
          <w:sz w:val="20"/>
          <w:szCs w:val="20"/>
          <w:color w:val="auto"/>
        </w:rPr>
      </w:pPr>
      <w:r>
        <w:rPr>
          <w:rFonts w:ascii="Times New Roman" w:cs="Times New Roman" w:eastAsia="Times New Roman" w:hAnsi="Times New Roman"/>
          <w:sz w:val="15"/>
          <w:szCs w:val="15"/>
          <w:color w:val="auto"/>
        </w:rPr>
        <w:t>We use Credit Agreement EBITDA as a measure of liquidity and to determine our compliance under certain covenants pursuant to our Secured Credit Facilities. Credit Agreement EBITDA is determined on a trailing twelve-month basis. We have included it because we believe it provides investors with additional information about our ability to incur and service debt and make capital expenditures. Credit Agreement EBITDA is not a measurement of liquidity under GAAP, and should not be considered in isolation or as a substitute for any other measure calculated in accordance with GAAP. The items excluded from Credit Agreement EBITDA are significant components in understanding and evaluating our liquidity. Our calculation of Credit Agreement EBITDA may not be comparable to similarly titled measures reported by other companies.</w:t>
      </w:r>
    </w:p>
    <w:p>
      <w:pPr>
        <w:spacing w:after="0" w:line="65" w:lineRule="exact"/>
        <w:rPr>
          <w:sz w:val="20"/>
          <w:szCs w:val="20"/>
          <w:color w:val="auto"/>
        </w:rPr>
      </w:pPr>
    </w:p>
    <w:p>
      <w:pPr>
        <w:jc w:val="both"/>
        <w:ind w:firstLine="309"/>
        <w:spacing w:after="0" w:line="279" w:lineRule="auto"/>
        <w:rPr>
          <w:sz w:val="20"/>
          <w:szCs w:val="20"/>
          <w:color w:val="auto"/>
        </w:rPr>
      </w:pPr>
      <w:r>
        <w:rPr>
          <w:rFonts w:ascii="Times New Roman" w:cs="Times New Roman" w:eastAsia="Times New Roman" w:hAnsi="Times New Roman"/>
          <w:sz w:val="15"/>
          <w:szCs w:val="15"/>
          <w:color w:val="auto"/>
        </w:rPr>
        <w:t>When we use the term "Credit Agreement EBITDA," we are referring to Adjusted EBITDA, as defined above, further adjusted for acquisitions and synergies. These adjustments do not relate to our historical financial performance and instead relate to estimates compiled by management and calculated in conformance with the definition of "Consolidated EBITDA" used in the credit agreements governing our credit facilities.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2"/>
          <w:szCs w:val="12"/>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firstLine="309"/>
        <w:spacing w:after="0" w:line="289" w:lineRule="auto"/>
        <w:rPr>
          <w:sz w:val="20"/>
          <w:szCs w:val="20"/>
          <w:color w:val="auto"/>
        </w:rPr>
      </w:pPr>
      <w:r>
        <w:rPr>
          <w:rFonts w:ascii="Times New Roman" w:cs="Times New Roman" w:eastAsia="Times New Roman" w:hAnsi="Times New Roman"/>
          <w:sz w:val="15"/>
          <w:szCs w:val="15"/>
          <w:color w:val="auto"/>
        </w:rPr>
        <w:t>The following table reconciles Credit Agreement EBITDA to cash flows from operating activities, the most directly comparable GAAP financial measure (in millions and unaudited):</w:t>
      </w:r>
    </w:p>
    <w:p>
      <w:pPr>
        <w:spacing w:after="0" w:line="94" w:lineRule="exact"/>
        <w:rPr>
          <w:sz w:val="20"/>
          <w:szCs w:val="20"/>
          <w:color w:val="auto"/>
        </w:rPr>
      </w:pPr>
    </w:p>
    <w:tbl>
      <w:tblPr>
        <w:tblLayout w:type="fixed"/>
        <w:tblInd w:w="240" w:type="dxa"/>
        <w:tblCellMar>
          <w:top w:w="0" w:type="dxa"/>
          <w:left w:w="0" w:type="dxa"/>
          <w:bottom w:w="0" w:type="dxa"/>
          <w:right w:w="0" w:type="dxa"/>
        </w:tblCellMar>
      </w:tblPr>
      <w:tr>
        <w:trPr>
          <w:trHeight w:val="161"/>
        </w:trPr>
        <w:tc>
          <w:tcPr>
            <w:tcW w:w="8720" w:type="dxa"/>
            <w:vAlign w:val="bottom"/>
          </w:tcPr>
          <w:p>
            <w:pPr>
              <w:spacing w:after="0"/>
              <w:rPr>
                <w:sz w:val="13"/>
                <w:szCs w:val="13"/>
                <w:color w:val="auto"/>
              </w:rPr>
            </w:pPr>
          </w:p>
        </w:tc>
        <w:tc>
          <w:tcPr>
            <w:tcW w:w="2060" w:type="dxa"/>
            <w:vAlign w:val="bottom"/>
            <w:gridSpan w:val="2"/>
          </w:tcPr>
          <w:p>
            <w:pPr>
              <w:jc w:val="right"/>
              <w:ind w:right="3"/>
              <w:spacing w:after="0"/>
              <w:rPr>
                <w:sz w:val="20"/>
                <w:szCs w:val="20"/>
                <w:color w:val="auto"/>
              </w:rPr>
            </w:pPr>
            <w:r>
              <w:rPr>
                <w:rFonts w:ascii="Times New Roman" w:cs="Times New Roman" w:eastAsia="Times New Roman" w:hAnsi="Times New Roman"/>
                <w:sz w:val="14"/>
                <w:szCs w:val="14"/>
                <w:b w:val="1"/>
                <w:bCs w:val="1"/>
                <w:color w:val="auto"/>
                <w:w w:val="98"/>
              </w:rPr>
              <w:t>Twelve Months Ended December</w:t>
            </w:r>
          </w:p>
        </w:tc>
      </w:tr>
      <w:tr>
        <w:trPr>
          <w:trHeight w:val="187"/>
        </w:trPr>
        <w:tc>
          <w:tcPr>
            <w:tcW w:w="87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723"/>
              <w:spacing w:after="0"/>
              <w:rPr>
                <w:sz w:val="20"/>
                <w:szCs w:val="20"/>
                <w:color w:val="auto"/>
              </w:rPr>
            </w:pPr>
            <w:r>
              <w:rPr>
                <w:rFonts w:ascii="Times New Roman" w:cs="Times New Roman" w:eastAsia="Times New Roman" w:hAnsi="Times New Roman"/>
                <w:sz w:val="14"/>
                <w:szCs w:val="14"/>
                <w:b w:val="1"/>
                <w:bCs w:val="1"/>
                <w:color w:val="auto"/>
              </w:rPr>
              <w:t>31, 2025</w:t>
            </w:r>
          </w:p>
        </w:tc>
      </w:tr>
      <w:tr>
        <w:trPr>
          <w:trHeight w:val="139"/>
        </w:trPr>
        <w:tc>
          <w:tcPr>
            <w:tcW w:w="8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40" w:type="dxa"/>
            <w:vAlign w:val="bottom"/>
          </w:tcPr>
          <w:p>
            <w:pPr>
              <w:spacing w:after="0"/>
              <w:rPr>
                <w:sz w:val="12"/>
                <w:szCs w:val="12"/>
                <w:color w:val="auto"/>
              </w:rPr>
            </w:pPr>
          </w:p>
        </w:tc>
      </w:tr>
      <w:tr>
        <w:trPr>
          <w:trHeight w:val="206"/>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Cash flows from operating activities</w:t>
            </w:r>
          </w:p>
        </w:tc>
        <w:tc>
          <w:tcPr>
            <w:tcW w:w="420" w:type="dxa"/>
            <w:vAlign w:val="bottom"/>
            <w:shd w:val="clear" w:color="auto" w:fill="CCEEFF"/>
          </w:tcPr>
          <w:p>
            <w:pPr>
              <w:jc w:val="right"/>
              <w:ind w:right="266"/>
              <w:spacing w:after="0"/>
              <w:rPr>
                <w:sz w:val="20"/>
                <w:szCs w:val="20"/>
                <w:color w:val="auto"/>
              </w:rPr>
            </w:pPr>
            <w:r>
              <w:rPr>
                <w:rFonts w:ascii="Times New Roman" w:cs="Times New Roman" w:eastAsia="Times New Roman" w:hAnsi="Times New Roman"/>
                <w:sz w:val="15"/>
                <w:szCs w:val="15"/>
                <w:color w:val="auto"/>
                <w:w w:val="79"/>
              </w:rPr>
              <w:t>$</w:t>
            </w:r>
          </w:p>
        </w:tc>
        <w:tc>
          <w:tcPr>
            <w:tcW w:w="16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274.3</w:t>
            </w:r>
          </w:p>
        </w:tc>
      </w:tr>
      <w:tr>
        <w:trPr>
          <w:trHeight w:val="205"/>
        </w:trPr>
        <w:tc>
          <w:tcPr>
            <w:tcW w:w="8720" w:type="dxa"/>
            <w:vAlign w:val="bottom"/>
          </w:tcPr>
          <w:p>
            <w:pPr>
              <w:ind w:left="20"/>
              <w:spacing w:after="0"/>
              <w:rPr>
                <w:sz w:val="20"/>
                <w:szCs w:val="20"/>
                <w:color w:val="auto"/>
              </w:rPr>
            </w:pPr>
            <w:r>
              <w:rPr>
                <w:rFonts w:ascii="Times New Roman" w:cs="Times New Roman" w:eastAsia="Times New Roman" w:hAnsi="Times New Roman"/>
                <w:sz w:val="15"/>
                <w:szCs w:val="15"/>
                <w:i w:val="1"/>
                <w:iCs w:val="1"/>
                <w:color w:val="auto"/>
              </w:rPr>
              <w:t>Plus (minus):</w:t>
            </w:r>
          </w:p>
        </w:tc>
        <w:tc>
          <w:tcPr>
            <w:tcW w:w="42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7"/>
        </w:trPr>
        <w:tc>
          <w:tcPr>
            <w:tcW w:w="8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Non-cash interest expense, net</w:t>
            </w:r>
          </w:p>
        </w:tc>
        <w:tc>
          <w:tcPr>
            <w:tcW w:w="4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(9.6)</w:t>
            </w:r>
          </w:p>
        </w:tc>
      </w:tr>
      <w:tr>
        <w:trPr>
          <w:trHeight w:val="203"/>
        </w:trPr>
        <w:tc>
          <w:tcPr>
            <w:tcW w:w="87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Non-cash lease expense</w:t>
            </w:r>
          </w:p>
        </w:tc>
        <w:tc>
          <w:tcPr>
            <w:tcW w:w="42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(37.8)</w:t>
            </w:r>
          </w:p>
        </w:tc>
      </w:tr>
      <w:tr>
        <w:trPr>
          <w:trHeight w:val="209"/>
        </w:trPr>
        <w:tc>
          <w:tcPr>
            <w:tcW w:w="8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Deferred income taxes</w:t>
            </w:r>
          </w:p>
        </w:tc>
        <w:tc>
          <w:tcPr>
            <w:tcW w:w="4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(16.7)</w:t>
            </w:r>
          </w:p>
        </w:tc>
      </w:tr>
      <w:tr>
        <w:trPr>
          <w:trHeight w:val="203"/>
        </w:trPr>
        <w:tc>
          <w:tcPr>
            <w:tcW w:w="87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Equity in earnings of unconsolidated affiliates, net of distributions received</w:t>
            </w:r>
          </w:p>
        </w:tc>
        <w:tc>
          <w:tcPr>
            <w:tcW w:w="420" w:type="dxa"/>
            <w:vAlign w:val="bottom"/>
          </w:tcPr>
          <w:p>
            <w:pPr>
              <w:spacing w:after="0"/>
              <w:rPr>
                <w:sz w:val="17"/>
                <w:szCs w:val="17"/>
                <w:color w:val="auto"/>
              </w:rPr>
            </w:pPr>
          </w:p>
        </w:tc>
        <w:tc>
          <w:tcPr>
            <w:tcW w:w="16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0.8</w:t>
            </w:r>
          </w:p>
        </w:tc>
      </w:tr>
      <w:tr>
        <w:trPr>
          <w:trHeight w:val="209"/>
        </w:trPr>
        <w:tc>
          <w:tcPr>
            <w:tcW w:w="8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Changes in operating assets and liabilities, net of acquisitions and divestitures</w:t>
            </w:r>
          </w:p>
        </w:tc>
        <w:tc>
          <w:tcPr>
            <w:tcW w:w="42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110.4</w:t>
            </w:r>
          </w:p>
        </w:tc>
      </w:tr>
      <w:tr>
        <w:trPr>
          <w:trHeight w:val="203"/>
        </w:trPr>
        <w:tc>
          <w:tcPr>
            <w:tcW w:w="87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Income tax expense</w:t>
            </w:r>
          </w:p>
        </w:tc>
        <w:tc>
          <w:tcPr>
            <w:tcW w:w="420" w:type="dxa"/>
            <w:vAlign w:val="bottom"/>
          </w:tcPr>
          <w:p>
            <w:pPr>
              <w:spacing w:after="0"/>
              <w:rPr>
                <w:sz w:val="17"/>
                <w:szCs w:val="17"/>
                <w:color w:val="auto"/>
              </w:rPr>
            </w:pPr>
          </w:p>
        </w:tc>
        <w:tc>
          <w:tcPr>
            <w:tcW w:w="16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18.0</w:t>
            </w:r>
          </w:p>
        </w:tc>
      </w:tr>
      <w:tr>
        <w:trPr>
          <w:trHeight w:val="209"/>
        </w:trPr>
        <w:tc>
          <w:tcPr>
            <w:tcW w:w="8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Net income attributable to non-controlling interests</w:t>
            </w:r>
          </w:p>
        </w:tc>
        <w:tc>
          <w:tcPr>
            <w:tcW w:w="4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(176.8)</w:t>
            </w:r>
          </w:p>
        </w:tc>
      </w:tr>
      <w:tr>
        <w:trPr>
          <w:trHeight w:val="203"/>
        </w:trPr>
        <w:tc>
          <w:tcPr>
            <w:tcW w:w="87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Interest expense, net</w:t>
            </w:r>
          </w:p>
        </w:tc>
        <w:tc>
          <w:tcPr>
            <w:tcW w:w="420" w:type="dxa"/>
            <w:vAlign w:val="bottom"/>
          </w:tcPr>
          <w:p>
            <w:pPr>
              <w:spacing w:after="0"/>
              <w:rPr>
                <w:sz w:val="17"/>
                <w:szCs w:val="17"/>
                <w:color w:val="auto"/>
              </w:rPr>
            </w:pPr>
          </w:p>
        </w:tc>
        <w:tc>
          <w:tcPr>
            <w:tcW w:w="16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272.6</w:t>
            </w:r>
          </w:p>
        </w:tc>
      </w:tr>
      <w:tr>
        <w:trPr>
          <w:trHeight w:val="209"/>
        </w:trPr>
        <w:tc>
          <w:tcPr>
            <w:tcW w:w="8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Transaction, integration and acquisition costs</w:t>
            </w:r>
          </w:p>
        </w:tc>
        <w:tc>
          <w:tcPr>
            <w:tcW w:w="42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73.9</w:t>
            </w:r>
          </w:p>
        </w:tc>
      </w:tr>
      <w:tr>
        <w:trPr>
          <w:trHeight w:val="203"/>
        </w:trPr>
        <w:tc>
          <w:tcPr>
            <w:tcW w:w="87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De novo start-up costs</w:t>
            </w:r>
          </w:p>
        </w:tc>
        <w:tc>
          <w:tcPr>
            <w:tcW w:w="420" w:type="dxa"/>
            <w:vAlign w:val="bottom"/>
          </w:tcPr>
          <w:p>
            <w:pPr>
              <w:spacing w:after="0"/>
              <w:rPr>
                <w:sz w:val="17"/>
                <w:szCs w:val="17"/>
                <w:color w:val="auto"/>
              </w:rPr>
            </w:pPr>
          </w:p>
        </w:tc>
        <w:tc>
          <w:tcPr>
            <w:tcW w:w="16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6.7</w:t>
            </w:r>
          </w:p>
        </w:tc>
      </w:tr>
      <w:tr>
        <w:trPr>
          <w:trHeight w:val="209"/>
        </w:trPr>
        <w:tc>
          <w:tcPr>
            <w:tcW w:w="8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Litigation settlements and other litigation costs</w:t>
            </w:r>
          </w:p>
        </w:tc>
        <w:tc>
          <w:tcPr>
            <w:tcW w:w="42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10.4</w:t>
            </w:r>
          </w:p>
        </w:tc>
      </w:tr>
      <w:tr>
        <w:trPr>
          <w:trHeight w:val="206"/>
        </w:trPr>
        <w:tc>
          <w:tcPr>
            <w:tcW w:w="8720" w:type="dxa"/>
            <w:vAlign w:val="bottom"/>
            <w:tcBorders>
              <w:bottom w:val="single" w:sz="8" w:color="CCEEFF"/>
            </w:tcBorders>
          </w:tcPr>
          <w:p>
            <w:pPr>
              <w:ind w:left="220"/>
              <w:spacing w:after="0" w:line="207" w:lineRule="exact"/>
              <w:rPr>
                <w:sz w:val="20"/>
                <w:szCs w:val="20"/>
                <w:color w:val="auto"/>
              </w:rPr>
            </w:pPr>
            <w:r>
              <w:rPr>
                <w:rFonts w:ascii="Times New Roman" w:cs="Times New Roman" w:eastAsia="Times New Roman" w:hAnsi="Times New Roman"/>
                <w:sz w:val="15"/>
                <w:szCs w:val="15"/>
                <w:color w:val="auto"/>
              </w:rPr>
              <w:t xml:space="preserve">Acquisitions and synergies </w:t>
            </w:r>
            <w:r>
              <w:rPr>
                <w:rFonts w:ascii="Times New Roman" w:cs="Times New Roman" w:eastAsia="Times New Roman" w:hAnsi="Times New Roman"/>
                <w:sz w:val="20"/>
                <w:szCs w:val="20"/>
                <w:color w:val="auto"/>
                <w:vertAlign w:val="superscript"/>
              </w:rPr>
              <w:t>(1)</w:t>
            </w:r>
          </w:p>
        </w:tc>
        <w:tc>
          <w:tcPr>
            <w:tcW w:w="42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52.0</w:t>
            </w:r>
          </w:p>
        </w:tc>
      </w:tr>
      <w:tr>
        <w:trPr>
          <w:trHeight w:val="224"/>
        </w:trPr>
        <w:tc>
          <w:tcPr>
            <w:tcW w:w="8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Credit Agreement EBITDA</w:t>
            </w:r>
          </w:p>
        </w:tc>
        <w:tc>
          <w:tcPr>
            <w:tcW w:w="420" w:type="dxa"/>
            <w:vAlign w:val="bottom"/>
            <w:tcBorders>
              <w:bottom w:val="single" w:sz="8" w:color="auto"/>
            </w:tcBorders>
            <w:shd w:val="clear" w:color="auto" w:fill="CCEEFF"/>
          </w:tcPr>
          <w:p>
            <w:pPr>
              <w:jc w:val="right"/>
              <w:ind w:right="266"/>
              <w:spacing w:after="0"/>
              <w:rPr>
                <w:sz w:val="20"/>
                <w:szCs w:val="20"/>
                <w:color w:val="auto"/>
              </w:rPr>
            </w:pPr>
            <w:r>
              <w:rPr>
                <w:rFonts w:ascii="Times New Roman" w:cs="Times New Roman" w:eastAsia="Times New Roman" w:hAnsi="Times New Roman"/>
                <w:sz w:val="15"/>
                <w:szCs w:val="15"/>
                <w:color w:val="auto"/>
                <w:w w:val="79"/>
              </w:rPr>
              <w:t>$</w:t>
            </w:r>
          </w:p>
        </w:tc>
        <w:tc>
          <w:tcPr>
            <w:tcW w:w="16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578.2</w:t>
            </w:r>
          </w:p>
        </w:tc>
      </w:tr>
      <w:tr>
        <w:trPr>
          <w:trHeight w:val="20"/>
        </w:trPr>
        <w:tc>
          <w:tcPr>
            <w:tcW w:w="87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240" w:hanging="237"/>
        <w:spacing w:after="0" w:line="276" w:lineRule="auto"/>
        <w:tabs>
          <w:tab w:leader="none" w:pos="238"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impact of acquisitions as if each acquisition had occurred on January 1, 2025. Further this includes revenue and cost synergies from other business initiatives and de novo facilities and an adjustment for the effects of adopting the new lease accounting standard, as defined in the credit agreement governing the Secured Credit Facilities.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7A. Quantitative and Qualitative Disclosures about Market Risk</w:t>
      </w:r>
    </w:p>
    <w:p>
      <w:pPr>
        <w:spacing w:after="0" w:line="128" w:lineRule="exact"/>
        <w:rPr>
          <w:sz w:val="20"/>
          <w:szCs w:val="20"/>
          <w:color w:val="auto"/>
        </w:rPr>
      </w:pPr>
    </w:p>
    <w:p>
      <w:pPr>
        <w:jc w:val="both"/>
        <w:ind w:firstLine="309"/>
        <w:spacing w:after="0" w:line="263" w:lineRule="auto"/>
        <w:rPr>
          <w:sz w:val="20"/>
          <w:szCs w:val="20"/>
          <w:color w:val="auto"/>
        </w:rPr>
      </w:pPr>
      <w:r>
        <w:rPr>
          <w:rFonts w:ascii="Times New Roman" w:cs="Times New Roman" w:eastAsia="Times New Roman" w:hAnsi="Times New Roman"/>
          <w:sz w:val="15"/>
          <w:szCs w:val="15"/>
          <w:color w:val="auto"/>
        </w:rPr>
        <w:t>We are subject to market risk primarily from exposure to changes in interest rates based on our financing, investing and cash management activities. We utilize a balanced mix of maturities along with both fixed rate and variable rate debt to manage our exposures to changes in interest rates. Additionally, we periodically enter into interest rate swap and cap agreements to manage our exposure to interest rate fluctuations. Our interest rate swap and cap agreements involve the exchange of fixed and variable rate interest payments between two parties, based on common notional principal amounts and maturity dates. The notional amounts of the swap agreements represent balances used to calculate the exchange of cash flows and are not our assets or liabilities. Our credit risk related to these agreements is considered low because the swap agreements are with creditworthy financial institutions. The interest payments under these agreements are settled on a net basis. These derivatives have been recognized in the financial statements at their respective fair values. Changes in the fair value of these derivatives, which are designated as cash flow hedges, are included in other comprehensive income.</w:t>
      </w:r>
    </w:p>
    <w:p>
      <w:pPr>
        <w:spacing w:after="0" w:line="69" w:lineRule="exact"/>
        <w:rPr>
          <w:sz w:val="20"/>
          <w:szCs w:val="20"/>
          <w:color w:val="auto"/>
        </w:rPr>
      </w:pPr>
    </w:p>
    <w:p>
      <w:pPr>
        <w:jc w:val="both"/>
        <w:ind w:firstLine="309"/>
        <w:spacing w:after="0" w:line="279" w:lineRule="auto"/>
        <w:rPr>
          <w:sz w:val="20"/>
          <w:szCs w:val="20"/>
          <w:color w:val="auto"/>
        </w:rPr>
      </w:pPr>
      <w:r>
        <w:rPr>
          <w:rFonts w:ascii="Times New Roman" w:cs="Times New Roman" w:eastAsia="Times New Roman" w:hAnsi="Times New Roman"/>
          <w:sz w:val="15"/>
          <w:szCs w:val="15"/>
          <w:color w:val="auto"/>
        </w:rPr>
        <w:t>Our variable rate debt instruments are primarily indexed to the prime rate or SOFR. Without derivatives, interest rate changes would result in gains or losses in the market value of our fixed rate debt portfolio due to differences in market interest rates and the rates at the inception of the debt agreements. Based on our indebtedness and the effectiveness of our interest rate swap and cap agreements at December 31, 2025, we do not expect changes in interest rates to have a material effect on our net earnings or cash flows in 2026.</w:t>
      </w:r>
    </w:p>
    <w:p>
      <w:pPr>
        <w:spacing w:after="0" w:line="56" w:lineRule="exact"/>
        <w:rPr>
          <w:sz w:val="20"/>
          <w:szCs w:val="20"/>
          <w:color w:val="auto"/>
        </w:rPr>
      </w:pPr>
    </w:p>
    <w:p>
      <w:pPr>
        <w:jc w:val="both"/>
        <w:ind w:firstLine="309"/>
        <w:spacing w:after="0" w:line="307" w:lineRule="auto"/>
        <w:rPr>
          <w:sz w:val="20"/>
          <w:szCs w:val="20"/>
          <w:color w:val="auto"/>
        </w:rPr>
      </w:pPr>
      <w:r>
        <w:rPr>
          <w:rFonts w:ascii="Times New Roman" w:cs="Times New Roman" w:eastAsia="Times New Roman" w:hAnsi="Times New Roman"/>
          <w:sz w:val="15"/>
          <w:szCs w:val="15"/>
          <w:color w:val="auto"/>
        </w:rPr>
        <w:t>For more information regarding our interest rate swap and cap agreements, please refer to Note 7. "Derivatives and Hedging Activities" to our consolidated financial statements for the year ended December 31, 2025 included elsewhere herein.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8. Financial Statements and Supplementary Data</w:t>
      </w:r>
    </w:p>
    <w:p>
      <w:pPr>
        <w:spacing w:after="0" w:line="12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 xml:space="preserve">Information with respect to this Item is contained in our consolidated financial statements beginning on Page </w:t>
      </w:r>
      <w:r>
        <w:rPr>
          <w:rFonts w:ascii="Times New Roman" w:cs="Times New Roman" w:eastAsia="Times New Roman" w:hAnsi="Times New Roman"/>
          <w:sz w:val="15"/>
          <w:szCs w:val="15"/>
          <w:u w:val="single" w:color="auto"/>
          <w:color w:val="0000FF"/>
        </w:rPr>
        <w:t>F-1</w:t>
      </w:r>
      <w:r>
        <w:rPr>
          <w:rFonts w:ascii="Times New Roman" w:cs="Times New Roman" w:eastAsia="Times New Roman" w:hAnsi="Times New Roman"/>
          <w:sz w:val="15"/>
          <w:szCs w:val="15"/>
          <w:color w:val="auto"/>
        </w:rPr>
        <w:t xml:space="preserve"> of this Annual Report.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9. Changes in and Disagreements With Accountants on Accounting and Financial Disclosure</w:t>
      </w:r>
    </w:p>
    <w:p>
      <w:pPr>
        <w:spacing w:after="0" w:line="1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None.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9A. Controls and Procedures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Disclosure Controls and Procedures and Limitations on the Effectiveness of Controls</w:t>
      </w:r>
    </w:p>
    <w:p>
      <w:pPr>
        <w:spacing w:after="0" w:line="115" w:lineRule="exact"/>
        <w:rPr>
          <w:sz w:val="20"/>
          <w:szCs w:val="20"/>
          <w:color w:val="auto"/>
        </w:rPr>
      </w:pPr>
    </w:p>
    <w:p>
      <w:pPr>
        <w:jc w:val="both"/>
        <w:ind w:firstLine="348"/>
        <w:spacing w:after="0" w:line="273" w:lineRule="auto"/>
        <w:rPr>
          <w:sz w:val="20"/>
          <w:szCs w:val="20"/>
          <w:color w:val="auto"/>
        </w:rPr>
      </w:pPr>
      <w:r>
        <w:rPr>
          <w:rFonts w:ascii="Times New Roman" w:cs="Times New Roman" w:eastAsia="Times New Roman" w:hAnsi="Times New Roman"/>
          <w:sz w:val="15"/>
          <w:szCs w:val="15"/>
          <w:color w:val="auto"/>
        </w:rPr>
        <w:t>An evaluation was performed under the supervision and with the participation of our management, including the Chief Executive Officer and the Chief Financial Officer, of the effectiveness of our disclosure controls and procedures (as defined in Rules 13a-15(e) and 15d-15(e) under the Exchange Act) as of the end of the period covered by this Annual Report to ensure that information required to be disclosed by us in the reports that we file or submit under the Exchange Act, is recorded, processed, summarized and reported within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2"/>
          <w:szCs w:val="12"/>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5"/>
          <w:szCs w:val="15"/>
          <w:color w:val="auto"/>
        </w:rPr>
        <w:t>time periods specified in the SEC’s rules and forms and to ensure that information required to be disclosed by us in the reports that we file or submit under the Exchange Act is accumulated and communicated to our management, including the Chief Executive Officer and the Chief Financial Officer, as appropriate to allow timely decisions regarding required disclosure. Based on the evaluation of our disclosure controls and procedures conducted as of December 31, 2025, our Chief Executive Officer and Chief Financial Officer concluded that, as of such date, our disclosure controls and procedures were effective.</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Management’s Report on Internal Control Over Financial Reporting</w:t>
      </w:r>
    </w:p>
    <w:p>
      <w:pPr>
        <w:spacing w:after="0" w:line="115" w:lineRule="exact"/>
        <w:rPr>
          <w:sz w:val="20"/>
          <w:szCs w:val="20"/>
          <w:color w:val="auto"/>
        </w:rPr>
      </w:pPr>
    </w:p>
    <w:p>
      <w:pPr>
        <w:jc w:val="both"/>
        <w:ind w:firstLine="309"/>
        <w:spacing w:after="0" w:line="262" w:lineRule="auto"/>
        <w:rPr>
          <w:sz w:val="20"/>
          <w:szCs w:val="20"/>
          <w:color w:val="auto"/>
        </w:rPr>
      </w:pPr>
      <w:r>
        <w:rPr>
          <w:rFonts w:ascii="Times New Roman" w:cs="Times New Roman" w:eastAsia="Times New Roman" w:hAnsi="Times New Roman"/>
          <w:sz w:val="15"/>
          <w:szCs w:val="15"/>
          <w:color w:val="auto"/>
        </w:rPr>
        <w:t>Management is responsible for establishing and maintaining adequate "internal control over financial reporting" (as such term is defined in Rule 13a-15(f) under the Exchange Act) for the Company. Internal control over financial reporting includes maintaining records that in reasonable detail accurately and fairly reflect our transactions and disposition of assets; providing reasonable assurance that transactions are recorded as necessary for preparation of our financial statements; providing reasonable assurance that receipts and expenditures are made only in accordance with management and board authorizations; and providing reasonable assurance regarding prevention or timely detection of unauthorized acquisition, use or disposition of our assets that could have a material effect on our financial statements. Internal control over financial reporting is a process designed to provide reasonable assurance regarding the reliability of financial reporting and the preparation of financial statements prepared for external purposes in accordance with GAAP. Because of the inherent limitations in any internal control, no matter how well designed,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71" w:lineRule="exact"/>
        <w:rPr>
          <w:sz w:val="20"/>
          <w:szCs w:val="20"/>
          <w:color w:val="auto"/>
        </w:rPr>
      </w:pPr>
    </w:p>
    <w:p>
      <w:pPr>
        <w:jc w:val="both"/>
        <w:ind w:firstLine="309"/>
        <w:spacing w:after="0" w:line="275" w:lineRule="auto"/>
        <w:rPr>
          <w:sz w:val="20"/>
          <w:szCs w:val="20"/>
          <w:color w:val="auto"/>
        </w:rPr>
      </w:pPr>
      <w:r>
        <w:rPr>
          <w:rFonts w:ascii="Times New Roman" w:cs="Times New Roman" w:eastAsia="Times New Roman" w:hAnsi="Times New Roman"/>
          <w:sz w:val="15"/>
          <w:szCs w:val="15"/>
          <w:color w:val="auto"/>
        </w:rPr>
        <w:t xml:space="preserve">Under the supervision and with the participation of management, including the Chief Executive Officer and Chief Financial Officer, we conducted an evaluation of the effectiveness of our internal control over financial reporting as of December 31, 2025. The assessment was based on criteria established in the framework </w:t>
      </w:r>
      <w:r>
        <w:rPr>
          <w:rFonts w:ascii="Times New Roman" w:cs="Times New Roman" w:eastAsia="Times New Roman" w:hAnsi="Times New Roman"/>
          <w:sz w:val="15"/>
          <w:szCs w:val="15"/>
          <w:i w:val="1"/>
          <w:iCs w:val="1"/>
          <w:color w:val="auto"/>
        </w:rPr>
        <w:t>Internal Control-Integrated Framework (2013)</w:t>
      </w:r>
      <w:r>
        <w:rPr>
          <w:rFonts w:ascii="Times New Roman" w:cs="Times New Roman" w:eastAsia="Times New Roman" w:hAnsi="Times New Roman"/>
          <w:sz w:val="15"/>
          <w:szCs w:val="15"/>
          <w:color w:val="auto"/>
        </w:rPr>
        <w:t>, issued by the Committee of Sponsoring Organizations of the Treadway Commission. Based on that evaluation, management, including the Chief</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Executive Officer and Chief Financial Officer, determined that our internal control over financial reporting was effective as of December 31, 2025.</w:t>
      </w:r>
    </w:p>
    <w:p>
      <w:pPr>
        <w:spacing w:after="0" w:line="60" w:lineRule="exact"/>
        <w:rPr>
          <w:sz w:val="20"/>
          <w:szCs w:val="20"/>
          <w:color w:val="auto"/>
        </w:rPr>
      </w:pPr>
    </w:p>
    <w:p>
      <w:pPr>
        <w:jc w:val="both"/>
        <w:ind w:firstLine="309"/>
        <w:spacing w:after="0" w:line="289" w:lineRule="auto"/>
        <w:rPr>
          <w:sz w:val="20"/>
          <w:szCs w:val="20"/>
          <w:color w:val="auto"/>
        </w:rPr>
      </w:pPr>
      <w:r>
        <w:rPr>
          <w:rFonts w:ascii="Times New Roman" w:cs="Times New Roman" w:eastAsia="Times New Roman" w:hAnsi="Times New Roman"/>
          <w:sz w:val="15"/>
          <w:szCs w:val="15"/>
          <w:color w:val="auto"/>
        </w:rPr>
        <w:t>Ernst &amp; Young LLP, the Company's independent registered public accounting firm, has issued an attestation report on the effectiveness of our internal control over financial reporting as of December 31, 2025. Their attestation report is included below in this Item 9A.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Changes in Internal Control over Financial Reporting</w:t>
      </w:r>
    </w:p>
    <w:p>
      <w:pPr>
        <w:spacing w:after="0" w:line="79" w:lineRule="exact"/>
        <w:rPr>
          <w:sz w:val="20"/>
          <w:szCs w:val="20"/>
          <w:color w:val="auto"/>
        </w:rPr>
      </w:pPr>
    </w:p>
    <w:p>
      <w:pPr>
        <w:jc w:val="both"/>
        <w:ind w:firstLine="309"/>
        <w:spacing w:after="0" w:line="215" w:lineRule="exact"/>
        <w:rPr>
          <w:sz w:val="20"/>
          <w:szCs w:val="20"/>
          <w:color w:val="auto"/>
        </w:rPr>
      </w:pPr>
      <w:r>
        <w:rPr>
          <w:rFonts w:ascii="Times New Roman" w:cs="Times New Roman" w:eastAsia="Times New Roman" w:hAnsi="Times New Roman"/>
          <w:sz w:val="15"/>
          <w:szCs w:val="15"/>
          <w:color w:val="auto"/>
        </w:rPr>
        <w:t>There were no changes in our internal control over financial reporting identified in connection with the evaluation required by Rules 13a-15(d) and 15d</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15(d) of the Exchange Act that occurred during the quarter ended December 31, 2025 that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2"/>
          <w:szCs w:val="12"/>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REPORT OF INDEPENDENT REGISTERED PUBLIC ACCOUNTING FIRM</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To the Stockholders and the Board of Directors of Surgery Partners, Inc.</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Opinion on Internal Control Over Financial Reporting</w:t>
      </w:r>
    </w:p>
    <w:p>
      <w:pPr>
        <w:spacing w:after="0" w:line="24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5"/>
          <w:szCs w:val="15"/>
          <w:color w:val="auto"/>
        </w:rPr>
        <w:t>We have audited Surgery Partners, Inc.’s internal control over financial reporting as of December 31, 2025, based on criteria established in Internal Control—Integrated Framework issued by the Committee of Sponsoring Organizations of the Treadway Commission (2013 framework) (the COSO criteria). In our opinion, Surgery Partners, Inc. (the Company) maintained, in all material respects, effective internal control over financial reporting as of December 31, 2025, based on the COSO criteria.</w:t>
      </w:r>
    </w:p>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5"/>
          <w:szCs w:val="15"/>
          <w:color w:val="auto"/>
        </w:rPr>
        <w:t>We also have audited, in accordance with the standards of the Public Company Accounting Oversight Board (United States) (PCAOB), the consolidated balance sheets of the Company as of December 31, 2025 and 2024, the related consolidated statements of operations, comprehensive income (loss), stockholders’ equity and cash flows for the two years in the period ended December 31, 2025, and the related notes and our report dated March 2, 2026 expressed an unqualified opinion thereon.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Basis for Opinion</w:t>
      </w:r>
    </w:p>
    <w:p>
      <w:pPr>
        <w:spacing w:after="0" w:line="24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5"/>
          <w:szCs w:val="15"/>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2"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5"/>
          <w:szCs w:val="15"/>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5"/>
          <w:szCs w:val="15"/>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Definition and Limitations of Internal Control Over Financial Reporting</w:t>
      </w:r>
    </w:p>
    <w:p>
      <w:pPr>
        <w:spacing w:after="0" w:line="23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5"/>
          <w:szCs w:val="15"/>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38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5"/>
          <w:szCs w:val="15"/>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 Ernst &amp; Young LLP</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Nashville, Tennessee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March 2,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2"/>
          <w:szCs w:val="12"/>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9B. Other Information</w:t>
      </w:r>
    </w:p>
    <w:p>
      <w:pPr>
        <w:spacing w:after="0" w:line="115" w:lineRule="exact"/>
        <w:rPr>
          <w:sz w:val="20"/>
          <w:szCs w:val="20"/>
          <w:color w:val="auto"/>
        </w:rPr>
      </w:pPr>
    </w:p>
    <w:p>
      <w:pPr>
        <w:jc w:val="both"/>
        <w:ind w:firstLine="309"/>
        <w:spacing w:after="0" w:line="279" w:lineRule="auto"/>
        <w:rPr>
          <w:sz w:val="20"/>
          <w:szCs w:val="20"/>
          <w:color w:val="auto"/>
        </w:rPr>
      </w:pPr>
      <w:r>
        <w:rPr>
          <w:rFonts w:ascii="Times New Roman" w:cs="Times New Roman" w:eastAsia="Times New Roman" w:hAnsi="Times New Roman"/>
          <w:sz w:val="15"/>
          <w:szCs w:val="15"/>
          <w:color w:val="auto"/>
        </w:rPr>
        <w:t>From time to time, certain of our executive officers and directors have, and we expect they will in the future, enter into, amend and terminate written trading arrangements pursuant to Rule 10b5-1 of the Securities and Exchange Act of 1934 or otherwise. During the three months ended December 31, 2025, none of the Company's directors or officers adopted or terminated any Rule 10b5-1 trading arrangement or non-Rule 10b5-1 trading arrangement (as such terms are defined in Item 408 of Regulation S-K).</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Board Member Appointment</w:t>
      </w:r>
    </w:p>
    <w:p>
      <w:pPr>
        <w:spacing w:after="0" w:line="115" w:lineRule="exact"/>
        <w:rPr>
          <w:sz w:val="20"/>
          <w:szCs w:val="20"/>
          <w:color w:val="auto"/>
        </w:rPr>
      </w:pPr>
    </w:p>
    <w:p>
      <w:pPr>
        <w:jc w:val="both"/>
        <w:ind w:firstLine="309"/>
        <w:spacing w:after="0" w:line="289" w:lineRule="auto"/>
        <w:rPr>
          <w:sz w:val="20"/>
          <w:szCs w:val="20"/>
          <w:color w:val="auto"/>
        </w:rPr>
      </w:pPr>
      <w:r>
        <w:rPr>
          <w:rFonts w:ascii="Times New Roman" w:cs="Times New Roman" w:eastAsia="Times New Roman" w:hAnsi="Times New Roman"/>
          <w:sz w:val="15"/>
          <w:szCs w:val="15"/>
          <w:color w:val="auto"/>
        </w:rPr>
        <w:t>On February 26, 2026, the Board of Directors of the Company appointed Lloyd Dean as a Class I director to fill the vacant directorship. As a Class I director, Mr. Dean’s term expires at the 2028 annual meeting of stockholders. The Board has determined that Mr. Dean is independent in accordance with Nasdaq listing standards.</w:t>
      </w:r>
    </w:p>
    <w:p>
      <w:pPr>
        <w:spacing w:after="0" w:line="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The Board has not appointed Mr. Dean to any committees of the Board, and it is unknown which committees of the Board Mr. Dean will serve on at this time.</w:t>
      </w:r>
    </w:p>
    <w:p>
      <w:pPr>
        <w:spacing w:after="0" w:line="111" w:lineRule="exact"/>
        <w:rPr>
          <w:sz w:val="20"/>
          <w:szCs w:val="20"/>
          <w:color w:val="auto"/>
        </w:rPr>
      </w:pPr>
    </w:p>
    <w:p>
      <w:pPr>
        <w:jc w:val="both"/>
        <w:ind w:firstLine="309"/>
        <w:spacing w:after="0" w:line="279" w:lineRule="auto"/>
        <w:rPr>
          <w:sz w:val="20"/>
          <w:szCs w:val="20"/>
          <w:color w:val="auto"/>
        </w:rPr>
      </w:pPr>
      <w:r>
        <w:rPr>
          <w:rFonts w:ascii="Times New Roman" w:cs="Times New Roman" w:eastAsia="Times New Roman" w:hAnsi="Times New Roman"/>
          <w:sz w:val="15"/>
          <w:szCs w:val="15"/>
          <w:color w:val="auto"/>
        </w:rPr>
        <w:t>Mr. Dean’s compensation will be materially consistent with other non-employee directors of the Company, as described in the definitive proxy statement for the Company’s 2025 annual meeting of stockholders, filed with the Securities and Exchange Commission on April 24, 2025. Additionally, Mr. Dean entered into the Company’s standard form of indemnification agreement.</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9C. Disclosure Regarding Foreign Jurisdictions that Prevent Inspections</w:t>
      </w:r>
    </w:p>
    <w:p>
      <w:pPr>
        <w:spacing w:after="0" w:line="1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2"/>
          <w:szCs w:val="12"/>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PART III</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10. Directors, Executive Officers and Corporate Governance</w:t>
      </w:r>
    </w:p>
    <w:p>
      <w:pPr>
        <w:spacing w:after="0" w:line="102" w:lineRule="exact"/>
        <w:rPr>
          <w:sz w:val="20"/>
          <w:szCs w:val="20"/>
          <w:color w:val="auto"/>
        </w:rPr>
      </w:pPr>
    </w:p>
    <w:p>
      <w:pPr>
        <w:ind w:firstLine="309"/>
        <w:spacing w:after="0" w:line="307" w:lineRule="auto"/>
        <w:rPr>
          <w:sz w:val="20"/>
          <w:szCs w:val="20"/>
          <w:color w:val="auto"/>
        </w:rPr>
      </w:pPr>
      <w:r>
        <w:rPr>
          <w:rFonts w:ascii="Times New Roman" w:cs="Times New Roman" w:eastAsia="Times New Roman" w:hAnsi="Times New Roman"/>
          <w:sz w:val="15"/>
          <w:szCs w:val="15"/>
          <w:color w:val="auto"/>
        </w:rPr>
        <w:t>The information called for by Item 10 is incorporated herein by reference to the definitive Proxy Statement of the Company relating to the 2025 Annual Meeting of Stockholders (the "Definitive Proxy Statement"), which the Company intends to file within 120 days after the close of its fiscal year ended December 31, 2025.</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11. Executive Compensation</w:t>
      </w:r>
    </w:p>
    <w:p>
      <w:pPr>
        <w:spacing w:after="0" w:line="1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The information called for by Item 11 is incorporated herein by reference to the Definitive Proxy Statement.</w:t>
      </w:r>
    </w:p>
    <w:p>
      <w:pPr>
        <w:spacing w:after="0" w:line="223" w:lineRule="exact"/>
        <w:rPr>
          <w:sz w:val="20"/>
          <w:szCs w:val="20"/>
          <w:color w:val="auto"/>
        </w:rPr>
      </w:pPr>
    </w:p>
    <w:p>
      <w:pPr>
        <w:jc w:val="center"/>
        <w:ind w:right="3940"/>
        <w:spacing w:after="0"/>
        <w:rPr>
          <w:sz w:val="20"/>
          <w:szCs w:val="20"/>
          <w:color w:val="auto"/>
        </w:rPr>
      </w:pPr>
      <w:r>
        <w:rPr>
          <w:rFonts w:ascii="Times New Roman" w:cs="Times New Roman" w:eastAsia="Times New Roman" w:hAnsi="Times New Roman"/>
          <w:sz w:val="15"/>
          <w:szCs w:val="15"/>
          <w:b w:val="1"/>
          <w:bCs w:val="1"/>
          <w:color w:val="auto"/>
        </w:rPr>
        <w:t>Item 12. Security Ownership of Certain Beneficial Owners and Management and Related Stockholder Matters</w:t>
      </w:r>
    </w:p>
    <w:p>
      <w:pPr>
        <w:spacing w:after="0" w:line="102" w:lineRule="exact"/>
        <w:rPr>
          <w:sz w:val="20"/>
          <w:szCs w:val="20"/>
          <w:color w:val="auto"/>
        </w:rPr>
      </w:pPr>
    </w:p>
    <w:p>
      <w:pPr>
        <w:jc w:val="center"/>
        <w:ind w:right="3920"/>
        <w:spacing w:after="0"/>
        <w:rPr>
          <w:sz w:val="20"/>
          <w:szCs w:val="20"/>
          <w:color w:val="auto"/>
        </w:rPr>
      </w:pPr>
      <w:r>
        <w:rPr>
          <w:rFonts w:ascii="Times New Roman" w:cs="Times New Roman" w:eastAsia="Times New Roman" w:hAnsi="Times New Roman"/>
          <w:sz w:val="15"/>
          <w:szCs w:val="15"/>
          <w:color w:val="auto"/>
        </w:rPr>
        <w:t>The information called for by Item 12 is incorporated herein by reference to the Definitive Proxy Statement.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13. Certain Relationships and Related Transactions, and Director Independence</w:t>
      </w:r>
    </w:p>
    <w:p>
      <w:pPr>
        <w:spacing w:after="0" w:line="1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The information called for by Item 13 is incorporated herein by reference to the Definitive Proxy Statement.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14. Principal Accounting Fees and Services</w:t>
      </w:r>
    </w:p>
    <w:p>
      <w:pPr>
        <w:spacing w:after="0" w:line="1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The information called for by Item 14 is incorporated herein by reference to the Definitive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2"/>
          <w:szCs w:val="12"/>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PART IV</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15. Exhibits and Financial Statement Schedules</w:t>
      </w:r>
    </w:p>
    <w:p>
      <w:pPr>
        <w:spacing w:after="0" w:line="128" w:lineRule="exact"/>
        <w:rPr>
          <w:sz w:val="20"/>
          <w:szCs w:val="20"/>
          <w:color w:val="auto"/>
        </w:rPr>
      </w:pPr>
    </w:p>
    <w:p>
      <w:pPr>
        <w:ind w:left="220" w:hanging="217"/>
        <w:spacing w:after="0"/>
        <w:tabs>
          <w:tab w:leader="none" w:pos="22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Financial Statements and Financial Statement Schedules</w:t>
      </w:r>
    </w:p>
    <w:p>
      <w:pPr>
        <w:spacing w:after="0" w:line="107" w:lineRule="exact"/>
        <w:rPr>
          <w:rFonts w:ascii="Times New Roman" w:cs="Times New Roman" w:eastAsia="Times New Roman" w:hAnsi="Times New Roman"/>
          <w:sz w:val="15"/>
          <w:szCs w:val="15"/>
          <w:color w:val="auto"/>
        </w:rPr>
      </w:pPr>
    </w:p>
    <w:p>
      <w:pPr>
        <w:ind w:left="680" w:hanging="213"/>
        <w:spacing w:after="0"/>
        <w:tabs>
          <w:tab w:leader="none" w:pos="680" w:val="left"/>
        </w:tabs>
        <w:numPr>
          <w:ilvl w:val="1"/>
          <w:numId w:val="21"/>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Financial Statements</w:t>
      </w:r>
    </w:p>
    <w:p>
      <w:pPr>
        <w:spacing w:after="0" w:line="128" w:lineRule="exact"/>
        <w:rPr>
          <w:rFonts w:ascii="Times New Roman" w:cs="Times New Roman" w:eastAsia="Times New Roman" w:hAnsi="Times New Roman"/>
          <w:sz w:val="15"/>
          <w:szCs w:val="15"/>
          <w:b w:val="1"/>
          <w:bCs w:val="1"/>
          <w:color w:val="auto"/>
        </w:rPr>
      </w:pPr>
    </w:p>
    <w:p>
      <w:pPr>
        <w:ind w:left="700"/>
        <w:spacing w:after="0"/>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 xml:space="preserve">Our Consolidated Financial Statements and Notes thereto are set forth starting on page </w:t>
      </w:r>
      <w:r>
        <w:rPr>
          <w:rFonts w:ascii="Times New Roman" w:cs="Times New Roman" w:eastAsia="Times New Roman" w:hAnsi="Times New Roman"/>
          <w:sz w:val="15"/>
          <w:szCs w:val="15"/>
          <w:u w:val="single" w:color="auto"/>
          <w:color w:val="0000FF"/>
        </w:rPr>
        <w:t>F-1</w:t>
      </w:r>
      <w:r>
        <w:rPr>
          <w:rFonts w:ascii="Times New Roman" w:cs="Times New Roman" w:eastAsia="Times New Roman" w:hAnsi="Times New Roman"/>
          <w:sz w:val="15"/>
          <w:szCs w:val="15"/>
          <w:color w:val="auto"/>
        </w:rPr>
        <w:t xml:space="preserve"> of this Annual Report on Form 10-K.</w:t>
      </w:r>
    </w:p>
    <w:p>
      <w:pPr>
        <w:spacing w:after="0" w:line="107" w:lineRule="exact"/>
        <w:rPr>
          <w:rFonts w:ascii="Times New Roman" w:cs="Times New Roman" w:eastAsia="Times New Roman" w:hAnsi="Times New Roman"/>
          <w:sz w:val="15"/>
          <w:szCs w:val="15"/>
          <w:b w:val="1"/>
          <w:bCs w:val="1"/>
          <w:color w:val="auto"/>
        </w:rPr>
      </w:pPr>
    </w:p>
    <w:p>
      <w:pPr>
        <w:ind w:left="680" w:hanging="213"/>
        <w:spacing w:after="0"/>
        <w:tabs>
          <w:tab w:leader="none" w:pos="680" w:val="left"/>
        </w:tabs>
        <w:numPr>
          <w:ilvl w:val="1"/>
          <w:numId w:val="21"/>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Financial Statement Schedules</w:t>
      </w:r>
    </w:p>
    <w:p>
      <w:pPr>
        <w:spacing w:after="0" w:line="115" w:lineRule="exact"/>
        <w:rPr>
          <w:rFonts w:ascii="Times New Roman" w:cs="Times New Roman" w:eastAsia="Times New Roman" w:hAnsi="Times New Roman"/>
          <w:sz w:val="15"/>
          <w:szCs w:val="15"/>
          <w:b w:val="1"/>
          <w:bCs w:val="1"/>
          <w:color w:val="auto"/>
        </w:rPr>
      </w:pPr>
    </w:p>
    <w:p>
      <w:pPr>
        <w:ind w:left="700"/>
        <w:spacing w:after="0" w:line="307" w:lineRule="auto"/>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 xml:space="preserve">All financial schedules have been omitted either because they are not applicable or because the required information is provided in our Consolidated Financial Statements and Notes thereto, starting on page </w:t>
      </w:r>
      <w:r>
        <w:rPr>
          <w:rFonts w:ascii="Times New Roman" w:cs="Times New Roman" w:eastAsia="Times New Roman" w:hAnsi="Times New Roman"/>
          <w:sz w:val="15"/>
          <w:szCs w:val="15"/>
          <w:u w:val="single" w:color="auto"/>
          <w:color w:val="0000FF"/>
        </w:rPr>
        <w:t>F-1</w:t>
      </w:r>
      <w:r>
        <w:rPr>
          <w:rFonts w:ascii="Times New Roman" w:cs="Times New Roman" w:eastAsia="Times New Roman" w:hAnsi="Times New Roman"/>
          <w:sz w:val="15"/>
          <w:szCs w:val="15"/>
          <w:color w:val="auto"/>
        </w:rPr>
        <w:t xml:space="preserve"> of this Annual Report on Form 10-K.</w:t>
      </w:r>
    </w:p>
    <w:p>
      <w:pPr>
        <w:spacing w:after="0" w:line="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b w:val="1"/>
          <w:bCs w:val="1"/>
          <w:color w:val="auto"/>
        </w:rPr>
        <w:t>(b) Exhibits: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2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No.</w:t>
            </w: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140" w:type="dxa"/>
            <w:vAlign w:val="bottom"/>
            <w:gridSpan w:val="25"/>
          </w:tcPr>
          <w:p>
            <w:pPr>
              <w:ind w:left="76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2"/>
        </w:trPr>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7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277"/>
        </w:trPr>
        <w:tc>
          <w:tcPr>
            <w:tcW w:w="1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3.1</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0" w:type="dxa"/>
            <w:vAlign w:val="bottom"/>
            <w:gridSpan w:val="38"/>
          </w:tcPr>
          <w:p>
            <w:pPr>
              <w:spacing w:after="0"/>
              <w:rPr>
                <w:rFonts w:ascii="Times New Roman" w:cs="Times New Roman" w:eastAsia="Times New Roman" w:hAnsi="Times New Roman"/>
                <w:sz w:val="14"/>
                <w:szCs w:val="14"/>
                <w:color w:val="0000FF"/>
              </w:rPr>
            </w:pPr>
            <w:hyperlink r:id="rId63">
              <w:r>
                <w:rPr>
                  <w:rFonts w:ascii="Times New Roman" w:cs="Times New Roman" w:eastAsia="Times New Roman" w:hAnsi="Times New Roman"/>
                  <w:sz w:val="14"/>
                  <w:szCs w:val="14"/>
                  <w:color w:val="0000FF"/>
                </w:rPr>
                <w:t>Amended and Restated Certificate of Incorporation of Surgery Partners, Inc., dated October 30, 2017 (incorporated herein by reference to Exhibit 3.1 to the Company’s Current</w:t>
              </w:r>
            </w:hyperlink>
          </w:p>
        </w:tc>
      </w:tr>
      <w:tr>
        <w:trPr>
          <w:trHeight w:val="122"/>
        </w:trPr>
        <w:tc>
          <w:tcPr>
            <w:tcW w:w="1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700" w:type="dxa"/>
            <w:vAlign w:val="bottom"/>
            <w:tcBorders>
              <w:top w:val="single" w:sz="8" w:color="0000FF"/>
            </w:tcBorders>
            <w:gridSpan w:val="24"/>
          </w:tcPr>
          <w:p>
            <w:pPr>
              <w:spacing w:after="0" w:line="122" w:lineRule="exact"/>
              <w:rPr>
                <w:rFonts w:ascii="Times New Roman" w:cs="Times New Roman" w:eastAsia="Times New Roman" w:hAnsi="Times New Roman"/>
                <w:sz w:val="14"/>
                <w:szCs w:val="14"/>
                <w:color w:val="0000FF"/>
              </w:rPr>
            </w:pPr>
            <w:hyperlink r:id="rId63">
              <w:r>
                <w:rPr>
                  <w:rFonts w:ascii="Times New Roman" w:cs="Times New Roman" w:eastAsia="Times New Roman" w:hAnsi="Times New Roman"/>
                  <w:sz w:val="14"/>
                  <w:szCs w:val="14"/>
                  <w:color w:val="0000FF"/>
                </w:rPr>
                <w:t>Report on Form 8-K filed November 3, 2017).</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1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3.2</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0" w:type="dxa"/>
            <w:vAlign w:val="bottom"/>
            <w:gridSpan w:val="38"/>
          </w:tcPr>
          <w:p>
            <w:pPr>
              <w:spacing w:after="0"/>
              <w:rPr>
                <w:rFonts w:ascii="Times New Roman" w:cs="Times New Roman" w:eastAsia="Times New Roman" w:hAnsi="Times New Roman"/>
                <w:sz w:val="14"/>
                <w:szCs w:val="14"/>
                <w:color w:val="0000FF"/>
              </w:rPr>
            </w:pPr>
            <w:hyperlink r:id="rId64">
              <w:r>
                <w:rPr>
                  <w:rFonts w:ascii="Times New Roman" w:cs="Times New Roman" w:eastAsia="Times New Roman" w:hAnsi="Times New Roman"/>
                  <w:sz w:val="14"/>
                  <w:szCs w:val="14"/>
                  <w:color w:val="0000FF"/>
                </w:rPr>
                <w:t>Amended and Restated Bylaws of Surgery Partners, Inc., dated August 31, 2017 (incorporated herein by reference to Exhibit 3.2 to the Company’s Current Report on Form 8-K</w:t>
              </w:r>
            </w:hyperlink>
          </w:p>
        </w:tc>
      </w:tr>
      <w:tr>
        <w:trPr>
          <w:trHeight w:val="122"/>
        </w:trPr>
        <w:tc>
          <w:tcPr>
            <w:tcW w:w="1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0" w:type="dxa"/>
            <w:vAlign w:val="bottom"/>
            <w:tcBorders>
              <w:top w:val="single" w:sz="8" w:color="0000FF"/>
              <w:bottom w:val="single" w:sz="8" w:color="0000FF"/>
            </w:tcBorders>
            <w:gridSpan w:val="5"/>
          </w:tcPr>
          <w:p>
            <w:pPr>
              <w:spacing w:after="0" w:line="122" w:lineRule="exact"/>
              <w:rPr>
                <w:rFonts w:ascii="Times New Roman" w:cs="Times New Roman" w:eastAsia="Times New Roman" w:hAnsi="Times New Roman"/>
                <w:sz w:val="14"/>
                <w:szCs w:val="14"/>
                <w:color w:val="0000FF"/>
                <w:w w:val="96"/>
              </w:rPr>
            </w:pPr>
            <w:hyperlink r:id="rId64">
              <w:r>
                <w:rPr>
                  <w:rFonts w:ascii="Times New Roman" w:cs="Times New Roman" w:eastAsia="Times New Roman" w:hAnsi="Times New Roman"/>
                  <w:sz w:val="14"/>
                  <w:szCs w:val="14"/>
                  <w:color w:val="0000FF"/>
                  <w:w w:val="96"/>
                </w:rPr>
                <w:t>filed September 1, 2017).</w:t>
              </w:r>
            </w:hyperlink>
          </w:p>
        </w:tc>
        <w:tc>
          <w:tcPr>
            <w:tcW w:w="8320" w:type="dxa"/>
            <w:vAlign w:val="bottom"/>
            <w:tcBorders>
              <w:top w:val="single" w:sz="8" w:color="0000FF"/>
            </w:tcBorders>
            <w:gridSpan w:val="20"/>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60"/>
        </w:trPr>
        <w:tc>
          <w:tcPr>
            <w:tcW w:w="1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4.1</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0" w:type="dxa"/>
            <w:vAlign w:val="bottom"/>
            <w:gridSpan w:val="38"/>
          </w:tcPr>
          <w:p>
            <w:pPr>
              <w:spacing w:after="0"/>
              <w:rPr>
                <w:rFonts w:ascii="Times New Roman" w:cs="Times New Roman" w:eastAsia="Times New Roman" w:hAnsi="Times New Roman"/>
                <w:sz w:val="14"/>
                <w:szCs w:val="14"/>
                <w:color w:val="0000FF"/>
                <w:w w:val="98"/>
              </w:rPr>
            </w:pPr>
            <w:hyperlink r:id="rId65">
              <w:r>
                <w:rPr>
                  <w:rFonts w:ascii="Times New Roman" w:cs="Times New Roman" w:eastAsia="Times New Roman" w:hAnsi="Times New Roman"/>
                  <w:sz w:val="14"/>
                  <w:szCs w:val="14"/>
                  <w:color w:val="0000FF"/>
                  <w:w w:val="98"/>
                </w:rPr>
                <w:t>Description of Securities Registered Pursuant to Section 12 of the Securities Exchange Act of 1934 (incorporated herein by reference to Exhibit 4.1 to the Company's Annual Report</w:t>
              </w:r>
            </w:hyperlink>
          </w:p>
        </w:tc>
      </w:tr>
      <w:tr>
        <w:trPr>
          <w:trHeight w:val="122"/>
        </w:trPr>
        <w:tc>
          <w:tcPr>
            <w:tcW w:w="1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960" w:type="dxa"/>
            <w:vAlign w:val="bottom"/>
            <w:tcBorders>
              <w:top w:val="single" w:sz="8" w:color="0000FF"/>
            </w:tcBorders>
            <w:gridSpan w:val="36"/>
          </w:tcPr>
          <w:p>
            <w:pPr>
              <w:spacing w:after="0" w:line="122" w:lineRule="exact"/>
              <w:rPr>
                <w:rFonts w:ascii="Times New Roman" w:cs="Times New Roman" w:eastAsia="Times New Roman" w:hAnsi="Times New Roman"/>
                <w:sz w:val="14"/>
                <w:szCs w:val="14"/>
                <w:color w:val="0000FF"/>
              </w:rPr>
            </w:pPr>
            <w:hyperlink r:id="rId65">
              <w:r>
                <w:rPr>
                  <w:rFonts w:ascii="Times New Roman" w:cs="Times New Roman" w:eastAsia="Times New Roman" w:hAnsi="Times New Roman"/>
                  <w:sz w:val="14"/>
                  <w:szCs w:val="14"/>
                  <w:color w:val="0000FF"/>
                </w:rPr>
                <w:t>on Form 10-K filed March 1, 2023).</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1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4.2</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0" w:type="dxa"/>
            <w:vAlign w:val="bottom"/>
            <w:tcBorders>
              <w:bottom w:val="single" w:sz="8" w:color="0000FF"/>
            </w:tcBorders>
            <w:gridSpan w:val="20"/>
          </w:tcPr>
          <w:p>
            <w:pPr>
              <w:spacing w:after="0"/>
              <w:rPr>
                <w:rFonts w:ascii="Times New Roman" w:cs="Times New Roman" w:eastAsia="Times New Roman" w:hAnsi="Times New Roman"/>
                <w:sz w:val="14"/>
                <w:szCs w:val="14"/>
                <w:color w:val="0000FF"/>
                <w:w w:val="97"/>
              </w:rPr>
            </w:pPr>
            <w:hyperlink r:id="rId66">
              <w:r>
                <w:rPr>
                  <w:rFonts w:ascii="Times New Roman" w:cs="Times New Roman" w:eastAsia="Times New Roman" w:hAnsi="Times New Roman"/>
                  <w:sz w:val="14"/>
                  <w:szCs w:val="14"/>
                  <w:color w:val="0000FF"/>
                  <w:w w:val="97"/>
                </w:rPr>
                <w:t>Indenture, dated April 10, 2024, among Surgery Center Holdings, Inc., the Guarantors from time to time party thereto and Wilmington Trust, National Association, as Trustee,</w:t>
              </w:r>
            </w:hyperlink>
          </w:p>
        </w:tc>
        <w:tc>
          <w:tcPr>
            <w:tcW w:w="400" w:type="dxa"/>
            <w:vAlign w:val="bottom"/>
            <w:gridSpan w:val="18"/>
          </w:tcPr>
          <w:p>
            <w:pPr>
              <w:spacing w:after="0"/>
              <w:rPr>
                <w:sz w:val="13"/>
                <w:szCs w:val="13"/>
                <w:color w:val="auto"/>
              </w:rPr>
            </w:pPr>
          </w:p>
        </w:tc>
      </w:tr>
      <w:tr>
        <w:trPr>
          <w:trHeight w:val="122"/>
        </w:trPr>
        <w:tc>
          <w:tcPr>
            <w:tcW w:w="1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00" w:type="dxa"/>
            <w:vAlign w:val="bottom"/>
            <w:gridSpan w:val="38"/>
          </w:tcPr>
          <w:p>
            <w:pPr>
              <w:spacing w:after="0" w:line="122" w:lineRule="exact"/>
              <w:rPr>
                <w:rFonts w:ascii="Times New Roman" w:cs="Times New Roman" w:eastAsia="Times New Roman" w:hAnsi="Times New Roman"/>
                <w:sz w:val="14"/>
                <w:szCs w:val="14"/>
                <w:color w:val="0000FF"/>
              </w:rPr>
            </w:pPr>
            <w:hyperlink r:id="rId66">
              <w:r>
                <w:rPr>
                  <w:rFonts w:ascii="Times New Roman" w:cs="Times New Roman" w:eastAsia="Times New Roman" w:hAnsi="Times New Roman"/>
                  <w:sz w:val="14"/>
                  <w:szCs w:val="14"/>
                  <w:color w:val="0000FF"/>
                </w:rPr>
                <w:t>including the Form of 7.250% Notes due 2032 attached as Exhibit A thereto (incorporated herein by reference to Exhibit 4.1 to the Company's Current Report on Form 8-K filed</w:t>
              </w:r>
            </w:hyperlink>
          </w:p>
        </w:tc>
      </w:tr>
      <w:tr>
        <w:trPr>
          <w:trHeight w:val="109"/>
        </w:trPr>
        <w:tc>
          <w:tcPr>
            <w:tcW w:w="1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880" w:type="dxa"/>
            <w:vAlign w:val="bottom"/>
            <w:tcBorders>
              <w:top w:val="single" w:sz="8" w:color="0000FF"/>
              <w:bottom w:val="single" w:sz="8" w:color="0000FF"/>
            </w:tcBorders>
            <w:gridSpan w:val="3"/>
          </w:tcPr>
          <w:p>
            <w:pPr>
              <w:spacing w:after="0" w:line="109" w:lineRule="exact"/>
              <w:rPr>
                <w:rFonts w:ascii="Times New Roman" w:cs="Times New Roman" w:eastAsia="Times New Roman" w:hAnsi="Times New Roman"/>
                <w:sz w:val="11"/>
                <w:szCs w:val="11"/>
                <w:color w:val="0000FF"/>
              </w:rPr>
            </w:pPr>
            <w:hyperlink r:id="rId66">
              <w:r>
                <w:rPr>
                  <w:rFonts w:ascii="Times New Roman" w:cs="Times New Roman" w:eastAsia="Times New Roman" w:hAnsi="Times New Roman"/>
                  <w:sz w:val="11"/>
                  <w:szCs w:val="11"/>
                  <w:color w:val="0000FF"/>
                </w:rPr>
                <w:t>April 10, 2024).</w:t>
              </w:r>
            </w:hyperlink>
          </w:p>
        </w:tc>
        <w:tc>
          <w:tcPr>
            <w:tcW w:w="8860" w:type="dxa"/>
            <w:vAlign w:val="bottom"/>
            <w:tcBorders>
              <w:top w:val="single" w:sz="8" w:color="0000FF"/>
            </w:tcBorders>
            <w:gridSpan w:val="23"/>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r>
      <w:tr>
        <w:trPr>
          <w:trHeight w:val="173"/>
        </w:trPr>
        <w:tc>
          <w:tcPr>
            <w:tcW w:w="1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4.3</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0" w:type="dxa"/>
            <w:vAlign w:val="bottom"/>
            <w:gridSpan w:val="38"/>
          </w:tcPr>
          <w:p>
            <w:pPr>
              <w:spacing w:after="0"/>
              <w:rPr>
                <w:sz w:val="20"/>
                <w:szCs w:val="20"/>
                <w:color w:val="auto"/>
              </w:rPr>
            </w:pPr>
            <w:r>
              <w:rPr>
                <w:rFonts w:ascii="Times New Roman" w:cs="Times New Roman" w:eastAsia="Times New Roman" w:hAnsi="Times New Roman"/>
                <w:sz w:val="14"/>
                <w:szCs w:val="14"/>
                <w:color w:val="0000FF"/>
                <w:w w:val="98"/>
              </w:rPr>
              <w:t>First Supplemental Indenture, dated as of June 18, 2024, among Surgery Center Holdings, Inc., the Guarantors party thereto and Wilmington Trust, National Association, as Trustee,</w:t>
            </w:r>
          </w:p>
        </w:tc>
      </w:tr>
      <w:tr>
        <w:trPr>
          <w:trHeight w:val="122"/>
        </w:trPr>
        <w:tc>
          <w:tcPr>
            <w:tcW w:w="1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940" w:type="dxa"/>
            <w:vAlign w:val="bottom"/>
            <w:tcBorders>
              <w:top w:val="single" w:sz="8" w:color="0000FF"/>
            </w:tcBorders>
            <w:gridSpan w:val="35"/>
          </w:tcPr>
          <w:p>
            <w:pPr>
              <w:spacing w:after="0" w:line="122" w:lineRule="exact"/>
              <w:rPr>
                <w:sz w:val="20"/>
                <w:szCs w:val="20"/>
                <w:color w:val="auto"/>
              </w:rPr>
            </w:pPr>
            <w:r>
              <w:rPr>
                <w:rFonts w:ascii="Times New Roman" w:cs="Times New Roman" w:eastAsia="Times New Roman" w:hAnsi="Times New Roman"/>
                <w:sz w:val="14"/>
                <w:szCs w:val="14"/>
                <w:color w:val="0000FF"/>
                <w:w w:val="99"/>
              </w:rPr>
              <w:t>including the Form of 7.250% Notes due 2032 attached as Exhibit A thereto (incorporated herein by reference to Exhibit 4.1 to the Company’s Current Report on Form 8-K filed</w:t>
            </w: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r>
      <w:tr>
        <w:trPr>
          <w:trHeight w:val="109"/>
        </w:trPr>
        <w:tc>
          <w:tcPr>
            <w:tcW w:w="1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1160" w:type="dxa"/>
            <w:vAlign w:val="bottom"/>
            <w:tcBorders>
              <w:top w:val="single" w:sz="8" w:color="0000FF"/>
              <w:bottom w:val="single" w:sz="8" w:color="0000FF"/>
            </w:tcBorders>
            <w:gridSpan w:val="4"/>
          </w:tcPr>
          <w:p>
            <w:pPr>
              <w:spacing w:after="0" w:line="109" w:lineRule="exact"/>
              <w:rPr>
                <w:sz w:val="20"/>
                <w:szCs w:val="20"/>
                <w:color w:val="auto"/>
              </w:rPr>
            </w:pPr>
            <w:r>
              <w:rPr>
                <w:rFonts w:ascii="Times New Roman" w:cs="Times New Roman" w:eastAsia="Times New Roman" w:hAnsi="Times New Roman"/>
                <w:sz w:val="11"/>
                <w:szCs w:val="11"/>
                <w:color w:val="0000FF"/>
              </w:rPr>
              <w:t>December 16, 2025).</w:t>
            </w:r>
          </w:p>
        </w:tc>
        <w:tc>
          <w:tcPr>
            <w:tcW w:w="8600" w:type="dxa"/>
            <w:vAlign w:val="bottom"/>
            <w:tcBorders>
              <w:top w:val="single" w:sz="8" w:color="0000FF"/>
            </w:tcBorders>
            <w:gridSpan w:val="23"/>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r>
      <w:tr>
        <w:trPr>
          <w:trHeight w:val="173"/>
        </w:trPr>
        <w:tc>
          <w:tcPr>
            <w:tcW w:w="1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4.4</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0" w:type="dxa"/>
            <w:vAlign w:val="bottom"/>
            <w:gridSpan w:val="38"/>
          </w:tcPr>
          <w:p>
            <w:pPr>
              <w:spacing w:after="0"/>
              <w:rPr>
                <w:sz w:val="20"/>
                <w:szCs w:val="20"/>
                <w:color w:val="auto"/>
              </w:rPr>
            </w:pPr>
            <w:r>
              <w:rPr>
                <w:rFonts w:ascii="Times New Roman" w:cs="Times New Roman" w:eastAsia="Times New Roman" w:hAnsi="Times New Roman"/>
                <w:sz w:val="14"/>
                <w:szCs w:val="14"/>
                <w:color w:val="0000FF"/>
              </w:rPr>
              <w:t>Second Supplemental Indenture, dated as of April 24, 2025, among Surgery Center Holdings, Inc., the Guarantors party thereto and Wilmington Trust, National Association, as</w:t>
            </w:r>
          </w:p>
        </w:tc>
      </w:tr>
      <w:tr>
        <w:trPr>
          <w:trHeight w:val="122"/>
        </w:trPr>
        <w:tc>
          <w:tcPr>
            <w:tcW w:w="1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640" w:type="dxa"/>
            <w:vAlign w:val="bottom"/>
            <w:tcBorders>
              <w:top w:val="single" w:sz="8" w:color="0000FF"/>
            </w:tcBorders>
            <w:gridSpan w:val="21"/>
          </w:tcPr>
          <w:p>
            <w:pPr>
              <w:spacing w:after="0" w:line="122" w:lineRule="exact"/>
              <w:rPr>
                <w:sz w:val="20"/>
                <w:szCs w:val="20"/>
                <w:color w:val="auto"/>
              </w:rPr>
            </w:pPr>
            <w:r>
              <w:rPr>
                <w:rFonts w:ascii="Times New Roman" w:cs="Times New Roman" w:eastAsia="Times New Roman" w:hAnsi="Times New Roman"/>
                <w:sz w:val="14"/>
                <w:szCs w:val="14"/>
                <w:color w:val="0000FF"/>
                <w:w w:val="97"/>
              </w:rPr>
              <w:t>Trustee, including the Form of 7.250% Notes due 2032 attached as Exhibit A thereto (incorporated herein by reference to Exhibit 4.1 to the Company’s Current Report on Form</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gridSpan w:val="14"/>
          </w:tcPr>
          <w:p>
            <w:pPr>
              <w:ind w:left="20"/>
              <w:spacing w:after="0" w:line="122" w:lineRule="exact"/>
              <w:rPr>
                <w:sz w:val="20"/>
                <w:szCs w:val="20"/>
                <w:color w:val="auto"/>
              </w:rPr>
            </w:pPr>
            <w:r>
              <w:rPr>
                <w:rFonts w:ascii="Times New Roman" w:cs="Times New Roman" w:eastAsia="Times New Roman" w:hAnsi="Times New Roman"/>
                <w:sz w:val="14"/>
                <w:szCs w:val="14"/>
                <w:color w:val="0000FF"/>
              </w:rPr>
              <w:t>8-K</w:t>
            </w:r>
          </w:p>
        </w:tc>
      </w:tr>
      <w:tr>
        <w:trPr>
          <w:trHeight w:val="109"/>
        </w:trPr>
        <w:tc>
          <w:tcPr>
            <w:tcW w:w="1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40" w:type="dxa"/>
            <w:vAlign w:val="bottom"/>
            <w:tcBorders>
              <w:top w:val="single" w:sz="8" w:color="0000FF"/>
              <w:bottom w:val="single" w:sz="8" w:color="0000FF"/>
            </w:tcBorders>
            <w:gridSpan w:val="6"/>
          </w:tcPr>
          <w:p>
            <w:pPr>
              <w:spacing w:after="0" w:line="109" w:lineRule="exact"/>
              <w:rPr>
                <w:sz w:val="20"/>
                <w:szCs w:val="20"/>
                <w:color w:val="auto"/>
              </w:rPr>
            </w:pPr>
            <w:r>
              <w:rPr>
                <w:rFonts w:ascii="Times New Roman" w:cs="Times New Roman" w:eastAsia="Times New Roman" w:hAnsi="Times New Roman"/>
                <w:sz w:val="11"/>
                <w:szCs w:val="11"/>
                <w:color w:val="0000FF"/>
              </w:rPr>
              <w:t>filed December 16, 2025).</w:t>
            </w:r>
          </w:p>
        </w:tc>
        <w:tc>
          <w:tcPr>
            <w:tcW w:w="8480" w:type="dxa"/>
            <w:vAlign w:val="bottom"/>
            <w:tcBorders>
              <w:top w:val="single" w:sz="8" w:color="0000FF"/>
            </w:tcBorders>
            <w:gridSpan w:val="28"/>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r>
      <w:tr>
        <w:trPr>
          <w:trHeight w:val="173"/>
        </w:trPr>
        <w:tc>
          <w:tcPr>
            <w:tcW w:w="1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4.5</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0" w:type="dxa"/>
            <w:vAlign w:val="bottom"/>
            <w:gridSpan w:val="38"/>
          </w:tcPr>
          <w:p>
            <w:pPr>
              <w:spacing w:after="0"/>
              <w:rPr>
                <w:rFonts w:ascii="Times New Roman" w:cs="Times New Roman" w:eastAsia="Times New Roman" w:hAnsi="Times New Roman"/>
                <w:sz w:val="14"/>
                <w:szCs w:val="14"/>
                <w:color w:val="0000FF"/>
                <w:w w:val="99"/>
              </w:rPr>
            </w:pPr>
            <w:hyperlink r:id="rId67">
              <w:r>
                <w:rPr>
                  <w:rFonts w:ascii="Times New Roman" w:cs="Times New Roman" w:eastAsia="Times New Roman" w:hAnsi="Times New Roman"/>
                  <w:sz w:val="14"/>
                  <w:szCs w:val="14"/>
                  <w:color w:val="0000FF"/>
                  <w:w w:val="99"/>
                </w:rPr>
                <w:t>Third Supplemental Indenture, dated as of December 16, 2025, among Surgery Center Holdings, Inc., the Guarantors party thereto and Wilmington Trust, National Association, as</w:t>
              </w:r>
            </w:hyperlink>
          </w:p>
        </w:tc>
      </w:tr>
      <w:tr>
        <w:trPr>
          <w:trHeight w:val="122"/>
        </w:trPr>
        <w:tc>
          <w:tcPr>
            <w:tcW w:w="1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820" w:type="dxa"/>
            <w:vAlign w:val="bottom"/>
            <w:tcBorders>
              <w:top w:val="single" w:sz="8" w:color="0000FF"/>
            </w:tcBorders>
            <w:gridSpan w:val="30"/>
          </w:tcPr>
          <w:p>
            <w:pPr>
              <w:spacing w:after="0" w:line="122" w:lineRule="exact"/>
              <w:rPr>
                <w:rFonts w:ascii="Times New Roman" w:cs="Times New Roman" w:eastAsia="Times New Roman" w:hAnsi="Times New Roman"/>
                <w:sz w:val="14"/>
                <w:szCs w:val="14"/>
                <w:color w:val="0000FF"/>
              </w:rPr>
            </w:pPr>
            <w:hyperlink r:id="rId67">
              <w:r>
                <w:rPr>
                  <w:rFonts w:ascii="Times New Roman" w:cs="Times New Roman" w:eastAsia="Times New Roman" w:hAnsi="Times New Roman"/>
                  <w:sz w:val="14"/>
                  <w:szCs w:val="14"/>
                  <w:color w:val="0000FF"/>
                </w:rPr>
                <w:t>Trustee, including the Form of 7.250% Notes due 2032 attached thereto (incorporated herein by reference to Exhibit 4.1 to the Company’s Current Report on Form 8-K filed</w:t>
              </w:r>
            </w:hyperlink>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r>
      <w:tr>
        <w:trPr>
          <w:trHeight w:val="109"/>
        </w:trPr>
        <w:tc>
          <w:tcPr>
            <w:tcW w:w="1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1160" w:type="dxa"/>
            <w:vAlign w:val="bottom"/>
            <w:tcBorders>
              <w:top w:val="single" w:sz="8" w:color="0000FF"/>
              <w:bottom w:val="single" w:sz="8" w:color="0000FF"/>
            </w:tcBorders>
            <w:gridSpan w:val="4"/>
          </w:tcPr>
          <w:p>
            <w:pPr>
              <w:spacing w:after="0" w:line="109" w:lineRule="exact"/>
              <w:rPr>
                <w:rFonts w:ascii="Times New Roman" w:cs="Times New Roman" w:eastAsia="Times New Roman" w:hAnsi="Times New Roman"/>
                <w:sz w:val="11"/>
                <w:szCs w:val="11"/>
                <w:color w:val="0000FF"/>
              </w:rPr>
            </w:pPr>
            <w:hyperlink r:id="rId67">
              <w:r>
                <w:rPr>
                  <w:rFonts w:ascii="Times New Roman" w:cs="Times New Roman" w:eastAsia="Times New Roman" w:hAnsi="Times New Roman"/>
                  <w:sz w:val="11"/>
                  <w:szCs w:val="11"/>
                  <w:color w:val="0000FF"/>
                </w:rPr>
                <w:t>December 16, 2025).</w:t>
              </w:r>
            </w:hyperlink>
          </w:p>
        </w:tc>
        <w:tc>
          <w:tcPr>
            <w:tcW w:w="8320" w:type="dxa"/>
            <w:vAlign w:val="bottom"/>
            <w:tcBorders>
              <w:top w:val="single" w:sz="8" w:color="0000FF"/>
            </w:tcBorders>
            <w:gridSpan w:val="14"/>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gridSpan w:val="3"/>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gridSpan w:val="4"/>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r>
      <w:tr>
        <w:trPr>
          <w:trHeight w:val="173"/>
        </w:trPr>
        <w:tc>
          <w:tcPr>
            <w:tcW w:w="1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0" w:type="dxa"/>
            <w:vAlign w:val="bottom"/>
            <w:gridSpan w:val="38"/>
          </w:tcPr>
          <w:p>
            <w:pPr>
              <w:spacing w:after="0"/>
              <w:rPr>
                <w:rFonts w:ascii="Times New Roman" w:cs="Times New Roman" w:eastAsia="Times New Roman" w:hAnsi="Times New Roman"/>
                <w:sz w:val="14"/>
                <w:szCs w:val="14"/>
                <w:color w:val="0000FF"/>
                <w:w w:val="98"/>
              </w:rPr>
            </w:pPr>
            <w:hyperlink r:id="rId68">
              <w:r>
                <w:rPr>
                  <w:rFonts w:ascii="Times New Roman" w:cs="Times New Roman" w:eastAsia="Times New Roman" w:hAnsi="Times New Roman"/>
                  <w:sz w:val="14"/>
                  <w:szCs w:val="14"/>
                  <w:color w:val="0000FF"/>
                  <w:w w:val="98"/>
                </w:rPr>
                <w:t>Office Lease Agreement dated November 17, 2015 between Highwoods Realty Limited Partnership and Surgery Partners, Inc. (incorporated herein by reference to Exhibit 10.21 to</w:t>
              </w:r>
            </w:hyperlink>
          </w:p>
        </w:tc>
      </w:tr>
      <w:tr>
        <w:trPr>
          <w:trHeight w:val="122"/>
        </w:trPr>
        <w:tc>
          <w:tcPr>
            <w:tcW w:w="1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880" w:type="dxa"/>
            <w:vAlign w:val="bottom"/>
            <w:tcBorders>
              <w:top w:val="single" w:sz="8" w:color="0000FF"/>
            </w:tcBorders>
            <w:gridSpan w:val="32"/>
          </w:tcPr>
          <w:p>
            <w:pPr>
              <w:spacing w:after="0" w:line="122" w:lineRule="exact"/>
              <w:rPr>
                <w:rFonts w:ascii="Times New Roman" w:cs="Times New Roman" w:eastAsia="Times New Roman" w:hAnsi="Times New Roman"/>
                <w:sz w:val="14"/>
                <w:szCs w:val="14"/>
                <w:color w:val="0000FF"/>
              </w:rPr>
            </w:pPr>
            <w:hyperlink r:id="rId68">
              <w:r>
                <w:rPr>
                  <w:rFonts w:ascii="Times New Roman" w:cs="Times New Roman" w:eastAsia="Times New Roman" w:hAnsi="Times New Roman"/>
                  <w:sz w:val="14"/>
                  <w:szCs w:val="14"/>
                  <w:color w:val="0000FF"/>
                </w:rPr>
                <w:t>the Company's Annual Report on Form 10-K filed March 11, 2016).</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60" w:type="dxa"/>
            <w:vAlign w:val="bottom"/>
            <w:gridSpan w:val="6"/>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1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10.2</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0" w:type="dxa"/>
            <w:vAlign w:val="bottom"/>
            <w:gridSpan w:val="38"/>
          </w:tcPr>
          <w:p>
            <w:pPr>
              <w:spacing w:after="0"/>
              <w:rPr>
                <w:rFonts w:ascii="Times New Roman" w:cs="Times New Roman" w:eastAsia="Times New Roman" w:hAnsi="Times New Roman"/>
                <w:sz w:val="14"/>
                <w:szCs w:val="14"/>
                <w:color w:val="0000FF"/>
              </w:rPr>
            </w:pPr>
            <w:hyperlink r:id="rId69">
              <w:r>
                <w:rPr>
                  <w:rFonts w:ascii="Times New Roman" w:cs="Times New Roman" w:eastAsia="Times New Roman" w:hAnsi="Times New Roman"/>
                  <w:sz w:val="14"/>
                  <w:szCs w:val="14"/>
                  <w:color w:val="0000FF"/>
                </w:rPr>
                <w:t>First Amendment to Lease Agreement, dated August 29, 2016, between Highwood Realty Limited Partnership and Surgery Partners, Inc. (incorporated herein by reference to</w:t>
              </w:r>
            </w:hyperlink>
          </w:p>
        </w:tc>
      </w:tr>
      <w:tr>
        <w:trPr>
          <w:trHeight w:val="122"/>
        </w:trPr>
        <w:tc>
          <w:tcPr>
            <w:tcW w:w="1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540" w:type="dxa"/>
            <w:vAlign w:val="bottom"/>
            <w:tcBorders>
              <w:top w:val="single" w:sz="8" w:color="0000FF"/>
            </w:tcBorders>
            <w:gridSpan w:val="19"/>
          </w:tcPr>
          <w:p>
            <w:pPr>
              <w:spacing w:after="0" w:line="122" w:lineRule="exact"/>
              <w:rPr>
                <w:rFonts w:ascii="Times New Roman" w:cs="Times New Roman" w:eastAsia="Times New Roman" w:hAnsi="Times New Roman"/>
                <w:sz w:val="14"/>
                <w:szCs w:val="14"/>
                <w:color w:val="0000FF"/>
              </w:rPr>
            </w:pPr>
            <w:hyperlink r:id="rId69">
              <w:r>
                <w:rPr>
                  <w:rFonts w:ascii="Times New Roman" w:cs="Times New Roman" w:eastAsia="Times New Roman" w:hAnsi="Times New Roman"/>
                  <w:sz w:val="14"/>
                  <w:szCs w:val="14"/>
                  <w:color w:val="0000FF"/>
                </w:rPr>
                <w:t>Exhibit 10.1 to the Company's Quarterly Report on Form 10-Q filed November 10, 2016).</w:t>
              </w:r>
            </w:hyperlink>
          </w:p>
        </w:tc>
        <w:tc>
          <w:tcPr>
            <w:tcW w:w="12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gridSpan w:val="4"/>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6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60" w:type="dxa"/>
            <w:vAlign w:val="bottom"/>
            <w:gridSpan w:val="6"/>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1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10.3</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0" w:type="dxa"/>
            <w:vAlign w:val="bottom"/>
            <w:gridSpan w:val="38"/>
          </w:tcPr>
          <w:p>
            <w:pPr>
              <w:spacing w:after="0"/>
              <w:rPr>
                <w:rFonts w:ascii="Times New Roman" w:cs="Times New Roman" w:eastAsia="Times New Roman" w:hAnsi="Times New Roman"/>
                <w:sz w:val="14"/>
                <w:szCs w:val="14"/>
                <w:color w:val="0000FF"/>
              </w:rPr>
            </w:pPr>
            <w:hyperlink r:id="rId70">
              <w:r>
                <w:rPr>
                  <w:rFonts w:ascii="Times New Roman" w:cs="Times New Roman" w:eastAsia="Times New Roman" w:hAnsi="Times New Roman"/>
                  <w:sz w:val="14"/>
                  <w:szCs w:val="14"/>
                  <w:color w:val="0000FF"/>
                </w:rPr>
                <w:t>Second Amendment to Lease Agreement, dated April 26, 2017, between Highwoods Realty Limited Partnership and Surgery Partners, Inc. (incorporated herein by reference to</w:t>
              </w:r>
            </w:hyperlink>
          </w:p>
        </w:tc>
      </w:tr>
      <w:tr>
        <w:trPr>
          <w:trHeight w:val="122"/>
        </w:trPr>
        <w:tc>
          <w:tcPr>
            <w:tcW w:w="1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40" w:type="dxa"/>
            <w:vAlign w:val="bottom"/>
            <w:tcBorders>
              <w:top w:val="single" w:sz="8" w:color="0000FF"/>
              <w:bottom w:val="single" w:sz="8" w:color="0000FF"/>
            </w:tcBorders>
            <w:gridSpan w:val="14"/>
          </w:tcPr>
          <w:p>
            <w:pPr>
              <w:spacing w:after="0" w:line="122" w:lineRule="exact"/>
              <w:rPr>
                <w:rFonts w:ascii="Times New Roman" w:cs="Times New Roman" w:eastAsia="Times New Roman" w:hAnsi="Times New Roman"/>
                <w:sz w:val="14"/>
                <w:szCs w:val="14"/>
                <w:color w:val="0000FF"/>
                <w:w w:val="97"/>
              </w:rPr>
            </w:pPr>
            <w:hyperlink r:id="rId70">
              <w:r>
                <w:rPr>
                  <w:rFonts w:ascii="Times New Roman" w:cs="Times New Roman" w:eastAsia="Times New Roman" w:hAnsi="Times New Roman"/>
                  <w:sz w:val="14"/>
                  <w:szCs w:val="14"/>
                  <w:color w:val="0000FF"/>
                  <w:w w:val="97"/>
                </w:rPr>
                <w:t>Exhibit 10.1 to the Company’s Quarterly Report on Form 10-Q filed May 10, 2017).</w:t>
              </w:r>
            </w:hyperlink>
          </w:p>
        </w:tc>
        <w:tc>
          <w:tcPr>
            <w:tcW w:w="5020" w:type="dxa"/>
            <w:vAlign w:val="bottom"/>
            <w:tcBorders>
              <w:top w:val="single" w:sz="8" w:color="0000FF"/>
            </w:tcBorders>
            <w:gridSpan w:val="8"/>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gridSpan w:val="4"/>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6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r>
      <w:tr>
        <w:trPr>
          <w:trHeight w:val="160"/>
        </w:trPr>
        <w:tc>
          <w:tcPr>
            <w:tcW w:w="1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10.4</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0" w:type="dxa"/>
            <w:vAlign w:val="bottom"/>
            <w:gridSpan w:val="38"/>
          </w:tcPr>
          <w:p>
            <w:pPr>
              <w:spacing w:after="0"/>
              <w:rPr>
                <w:rFonts w:ascii="Times New Roman" w:cs="Times New Roman" w:eastAsia="Times New Roman" w:hAnsi="Times New Roman"/>
                <w:sz w:val="14"/>
                <w:szCs w:val="14"/>
                <w:color w:val="0000FF"/>
              </w:rPr>
            </w:pPr>
            <w:hyperlink r:id="rId71">
              <w:r>
                <w:rPr>
                  <w:rFonts w:ascii="Times New Roman" w:cs="Times New Roman" w:eastAsia="Times New Roman" w:hAnsi="Times New Roman"/>
                  <w:sz w:val="14"/>
                  <w:szCs w:val="14"/>
                  <w:color w:val="0000FF"/>
                </w:rPr>
                <w:t>Amended and Restated Registration Rights Agreement by and among Surgery Partners, Inc., certain stockholders of Surgery Partners, Inc. and certain other parties thereto, dated</w:t>
              </w:r>
            </w:hyperlink>
          </w:p>
        </w:tc>
      </w:tr>
      <w:tr>
        <w:trPr>
          <w:trHeight w:val="122"/>
        </w:trPr>
        <w:tc>
          <w:tcPr>
            <w:tcW w:w="1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80" w:type="dxa"/>
            <w:vAlign w:val="bottom"/>
            <w:tcBorders>
              <w:top w:val="single" w:sz="8" w:color="0000FF"/>
              <w:bottom w:val="single" w:sz="8" w:color="0000FF"/>
            </w:tcBorders>
            <w:gridSpan w:val="16"/>
          </w:tcPr>
          <w:p>
            <w:pPr>
              <w:spacing w:after="0" w:line="122" w:lineRule="exact"/>
              <w:rPr>
                <w:rFonts w:ascii="Times New Roman" w:cs="Times New Roman" w:eastAsia="Times New Roman" w:hAnsi="Times New Roman"/>
                <w:sz w:val="14"/>
                <w:szCs w:val="14"/>
                <w:color w:val="0000FF"/>
                <w:w w:val="97"/>
              </w:rPr>
            </w:pPr>
            <w:hyperlink r:id="rId71">
              <w:r>
                <w:rPr>
                  <w:rFonts w:ascii="Times New Roman" w:cs="Times New Roman" w:eastAsia="Times New Roman" w:hAnsi="Times New Roman"/>
                  <w:sz w:val="14"/>
                  <w:szCs w:val="14"/>
                  <w:color w:val="0000FF"/>
                  <w:w w:val="97"/>
                </w:rPr>
                <w:t>August 31, 2017 (incorporated herein by reference to Exhibit 10.1 to the Company’s Current Report on Form 8-K filed September 1, 2017).</w:t>
              </w:r>
            </w:hyperlink>
          </w:p>
        </w:tc>
        <w:tc>
          <w:tcPr>
            <w:tcW w:w="2100" w:type="dxa"/>
            <w:vAlign w:val="bottom"/>
            <w:tcBorders>
              <w:top w:val="single" w:sz="8" w:color="0000FF"/>
            </w:tcBorders>
            <w:gridSpan w:val="1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6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r>
      <w:tr>
        <w:trPr>
          <w:trHeight w:val="160"/>
        </w:trPr>
        <w:tc>
          <w:tcPr>
            <w:tcW w:w="1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10.5</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0" w:type="dxa"/>
            <w:vAlign w:val="bottom"/>
            <w:gridSpan w:val="38"/>
          </w:tcPr>
          <w:p>
            <w:pPr>
              <w:spacing w:after="0"/>
              <w:rPr>
                <w:rFonts w:ascii="Times New Roman" w:cs="Times New Roman" w:eastAsia="Times New Roman" w:hAnsi="Times New Roman"/>
                <w:sz w:val="14"/>
                <w:szCs w:val="14"/>
                <w:color w:val="0000FF"/>
                <w:w w:val="99"/>
              </w:rPr>
            </w:pPr>
            <w:hyperlink r:id="rId72">
              <w:r>
                <w:rPr>
                  <w:rFonts w:ascii="Times New Roman" w:cs="Times New Roman" w:eastAsia="Times New Roman" w:hAnsi="Times New Roman"/>
                  <w:sz w:val="14"/>
                  <w:szCs w:val="14"/>
                  <w:color w:val="0000FF"/>
                  <w:w w:val="99"/>
                </w:rPr>
                <w:t>Amendment and Joinder to Amended and Restated Registration Rights Agreement, dated December 22, 2022, by and among Surgery Partners, Inc., BCPE Seminole Holdings LP,</w:t>
              </w:r>
            </w:hyperlink>
          </w:p>
        </w:tc>
      </w:tr>
      <w:tr>
        <w:trPr>
          <w:trHeight w:val="122"/>
        </w:trPr>
        <w:tc>
          <w:tcPr>
            <w:tcW w:w="1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800" w:type="dxa"/>
            <w:vAlign w:val="bottom"/>
            <w:tcBorders>
              <w:top w:val="single" w:sz="8" w:color="0000FF"/>
            </w:tcBorders>
            <w:gridSpan w:val="29"/>
          </w:tcPr>
          <w:p>
            <w:pPr>
              <w:spacing w:after="0" w:line="122" w:lineRule="exact"/>
              <w:rPr>
                <w:rFonts w:ascii="Times New Roman" w:cs="Times New Roman" w:eastAsia="Times New Roman" w:hAnsi="Times New Roman"/>
                <w:sz w:val="14"/>
                <w:szCs w:val="14"/>
                <w:color w:val="0000FF"/>
                <w:w w:val="98"/>
              </w:rPr>
            </w:pPr>
            <w:hyperlink r:id="rId72">
              <w:r>
                <w:rPr>
                  <w:rFonts w:ascii="Times New Roman" w:cs="Times New Roman" w:eastAsia="Times New Roman" w:hAnsi="Times New Roman"/>
                  <w:sz w:val="14"/>
                  <w:szCs w:val="14"/>
                  <w:color w:val="0000FF"/>
                  <w:w w:val="98"/>
                </w:rPr>
                <w:t>BCPE Seminole Holdings III, L.P. and BCPE Seminole Holdings IV, L.P. (incorporated herein by reference to Exhibit 10.1 to the Company’s Current Report on Form 8-K filed</w:t>
              </w:r>
            </w:hyperlink>
          </w:p>
        </w:tc>
        <w:tc>
          <w:tcPr>
            <w:tcW w:w="40" w:type="dxa"/>
            <w:vAlign w:val="bottom"/>
            <w:gridSpan w:val="2"/>
          </w:tcPr>
          <w:p>
            <w:pPr>
              <w:spacing w:after="0"/>
              <w:rPr>
                <w:sz w:val="10"/>
                <w:szCs w:val="10"/>
                <w:color w:val="auto"/>
              </w:rPr>
            </w:pPr>
          </w:p>
        </w:tc>
        <w:tc>
          <w:tcPr>
            <w:tcW w:w="6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r>
      <w:tr>
        <w:trPr>
          <w:trHeight w:val="109"/>
        </w:trPr>
        <w:tc>
          <w:tcPr>
            <w:tcW w:w="1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1160" w:type="dxa"/>
            <w:vAlign w:val="bottom"/>
            <w:tcBorders>
              <w:top w:val="single" w:sz="8" w:color="0000FF"/>
              <w:bottom w:val="single" w:sz="8" w:color="0000FF"/>
            </w:tcBorders>
            <w:gridSpan w:val="4"/>
          </w:tcPr>
          <w:p>
            <w:pPr>
              <w:spacing w:after="0" w:line="109" w:lineRule="exact"/>
              <w:rPr>
                <w:rFonts w:ascii="Times New Roman" w:cs="Times New Roman" w:eastAsia="Times New Roman" w:hAnsi="Times New Roman"/>
                <w:sz w:val="11"/>
                <w:szCs w:val="11"/>
                <w:color w:val="0000FF"/>
              </w:rPr>
            </w:pPr>
            <w:hyperlink r:id="rId72">
              <w:r>
                <w:rPr>
                  <w:rFonts w:ascii="Times New Roman" w:cs="Times New Roman" w:eastAsia="Times New Roman" w:hAnsi="Times New Roman"/>
                  <w:sz w:val="11"/>
                  <w:szCs w:val="11"/>
                  <w:color w:val="0000FF"/>
                </w:rPr>
                <w:t>December 22, 2022).</w:t>
              </w:r>
            </w:hyperlink>
          </w:p>
        </w:tc>
        <w:tc>
          <w:tcPr>
            <w:tcW w:w="8520" w:type="dxa"/>
            <w:vAlign w:val="bottom"/>
            <w:tcBorders>
              <w:top w:val="single" w:sz="8" w:color="0000FF"/>
            </w:tcBorders>
            <w:gridSpan w:val="19"/>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gridSpan w:val="7"/>
          </w:tcPr>
          <w:p>
            <w:pPr>
              <w:spacing w:after="0"/>
              <w:rPr>
                <w:sz w:val="9"/>
                <w:szCs w:val="9"/>
                <w:color w:val="auto"/>
              </w:rPr>
            </w:pPr>
          </w:p>
        </w:tc>
        <w:tc>
          <w:tcPr>
            <w:tcW w:w="6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r>
      <w:tr>
        <w:trPr>
          <w:trHeight w:val="186"/>
        </w:trPr>
        <w:tc>
          <w:tcPr>
            <w:tcW w:w="1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10.6</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0" w:type="dxa"/>
            <w:vAlign w:val="bottom"/>
            <w:gridSpan w:val="38"/>
          </w:tcPr>
          <w:p>
            <w:pPr>
              <w:spacing w:after="0"/>
              <w:rPr>
                <w:rFonts w:ascii="Times New Roman" w:cs="Times New Roman" w:eastAsia="Times New Roman" w:hAnsi="Times New Roman"/>
                <w:sz w:val="14"/>
                <w:szCs w:val="14"/>
                <w:color w:val="0000FF"/>
              </w:rPr>
            </w:pPr>
            <w:hyperlink r:id="rId73">
              <w:r>
                <w:rPr>
                  <w:rFonts w:ascii="Times New Roman" w:cs="Times New Roman" w:eastAsia="Times New Roman" w:hAnsi="Times New Roman"/>
                  <w:sz w:val="14"/>
                  <w:szCs w:val="14"/>
                  <w:color w:val="0000FF"/>
                </w:rPr>
                <w:t>Form of TRA Waiver and Assignment Agreement (incorporated herein by reference to Exhibit 10.11 to the Company's Annual Report on Form 10-K filed March 16, 2018).</w:t>
              </w:r>
            </w:hyperlink>
          </w:p>
        </w:tc>
      </w:tr>
      <w:tr>
        <w:trPr>
          <w:trHeight w:val="20"/>
        </w:trPr>
        <w:tc>
          <w:tcPr>
            <w:tcW w:w="1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60" w:type="dxa"/>
            <w:vAlign w:val="bottom"/>
            <w:gridSpan w:val="6"/>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5600" w:type="dxa"/>
            <w:vAlign w:val="bottom"/>
            <w:tcBorders>
              <w:right w:val="single" w:sz="8" w:color="0000FF"/>
            </w:tcBorders>
            <w:gridSpan w:val="4"/>
            <w:shd w:val="clear" w:color="auto" w:fill="0000FF"/>
          </w:tcPr>
          <w:p>
            <w:pPr>
              <w:spacing w:after="0" w:line="20" w:lineRule="exact"/>
              <w:rPr>
                <w:sz w:val="1"/>
                <w:szCs w:val="1"/>
                <w:color w:val="auto"/>
              </w:rPr>
            </w:pPr>
          </w:p>
        </w:tc>
        <w:tc>
          <w:tcPr>
            <w:tcW w:w="240" w:type="dxa"/>
            <w:vAlign w:val="bottom"/>
            <w:gridSpan w:val="7"/>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3"/>
        </w:trPr>
        <w:tc>
          <w:tcPr>
            <w:tcW w:w="12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10.7 (a)</w:t>
            </w:r>
          </w:p>
        </w:tc>
        <w:tc>
          <w:tcPr>
            <w:tcW w:w="20" w:type="dxa"/>
            <w:vAlign w:val="bottom"/>
          </w:tcPr>
          <w:p>
            <w:pPr>
              <w:spacing w:after="0"/>
              <w:rPr>
                <w:sz w:val="15"/>
                <w:szCs w:val="15"/>
                <w:color w:val="auto"/>
              </w:rPr>
            </w:pPr>
          </w:p>
        </w:tc>
        <w:tc>
          <w:tcPr>
            <w:tcW w:w="10000" w:type="dxa"/>
            <w:vAlign w:val="bottom"/>
            <w:gridSpan w:val="38"/>
          </w:tcPr>
          <w:p>
            <w:pPr>
              <w:spacing w:after="0"/>
              <w:rPr>
                <w:rFonts w:ascii="Times New Roman" w:cs="Times New Roman" w:eastAsia="Times New Roman" w:hAnsi="Times New Roman"/>
                <w:sz w:val="14"/>
                <w:szCs w:val="14"/>
                <w:color w:val="0000FF"/>
                <w:w w:val="98"/>
              </w:rPr>
            </w:pPr>
            <w:hyperlink r:id="rId74">
              <w:r>
                <w:rPr>
                  <w:rFonts w:ascii="Times New Roman" w:cs="Times New Roman" w:eastAsia="Times New Roman" w:hAnsi="Times New Roman"/>
                  <w:sz w:val="14"/>
                  <w:szCs w:val="14"/>
                  <w:color w:val="0000FF"/>
                  <w:w w:val="98"/>
                </w:rPr>
                <w:t>Form of Indemnification Agreement (incorporated herein by reference to Exhibit 10.14 to Amendment No. 1 to the Company's Registration Statement on Form S-1, filed September</w:t>
              </w:r>
            </w:hyperlink>
          </w:p>
        </w:tc>
      </w:tr>
      <w:tr>
        <w:trPr>
          <w:trHeight w:val="122"/>
        </w:trPr>
        <w:tc>
          <w:tcPr>
            <w:tcW w:w="1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Borders>
              <w:top w:val="single" w:sz="8" w:color="0000FF"/>
              <w:bottom w:val="single" w:sz="8" w:color="0000FF"/>
            </w:tcBorders>
            <w:gridSpan w:val="2"/>
          </w:tcPr>
          <w:p>
            <w:pPr>
              <w:spacing w:after="0" w:line="122" w:lineRule="exact"/>
              <w:rPr>
                <w:rFonts w:ascii="Times New Roman" w:cs="Times New Roman" w:eastAsia="Times New Roman" w:hAnsi="Times New Roman"/>
                <w:sz w:val="14"/>
                <w:szCs w:val="14"/>
                <w:color w:val="0000FF"/>
                <w:w w:val="94"/>
              </w:rPr>
            </w:pPr>
            <w:hyperlink r:id="rId74">
              <w:r>
                <w:rPr>
                  <w:rFonts w:ascii="Times New Roman" w:cs="Times New Roman" w:eastAsia="Times New Roman" w:hAnsi="Times New Roman"/>
                  <w:sz w:val="14"/>
                  <w:szCs w:val="14"/>
                  <w:color w:val="0000FF"/>
                  <w:w w:val="94"/>
                </w:rPr>
                <w:t>14, 2015).</w:t>
              </w:r>
            </w:hyperlink>
          </w:p>
        </w:tc>
        <w:tc>
          <w:tcPr>
            <w:tcW w:w="320" w:type="dxa"/>
            <w:vAlign w:val="bottom"/>
            <w:tcBorders>
              <w:top w:val="single" w:sz="8" w:color="0000FF"/>
            </w:tcBorders>
          </w:tcPr>
          <w:p>
            <w:pPr>
              <w:spacing w:after="0"/>
              <w:rPr>
                <w:sz w:val="10"/>
                <w:szCs w:val="10"/>
                <w:color w:val="auto"/>
              </w:rPr>
            </w:pPr>
          </w:p>
        </w:tc>
        <w:tc>
          <w:tcPr>
            <w:tcW w:w="280" w:type="dxa"/>
            <w:vAlign w:val="bottom"/>
            <w:tcBorders>
              <w:top w:val="single" w:sz="8" w:color="0000FF"/>
            </w:tcBorders>
          </w:tcPr>
          <w:p>
            <w:pPr>
              <w:spacing w:after="0"/>
              <w:rPr>
                <w:sz w:val="10"/>
                <w:szCs w:val="10"/>
                <w:color w:val="auto"/>
              </w:rPr>
            </w:pPr>
          </w:p>
        </w:tc>
        <w:tc>
          <w:tcPr>
            <w:tcW w:w="24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54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300" w:type="dxa"/>
            <w:vAlign w:val="bottom"/>
            <w:tcBorders>
              <w:top w:val="single" w:sz="8" w:color="0000FF"/>
            </w:tcBorders>
          </w:tcPr>
          <w:p>
            <w:pPr>
              <w:spacing w:after="0"/>
              <w:rPr>
                <w:sz w:val="10"/>
                <w:szCs w:val="10"/>
                <w:color w:val="auto"/>
              </w:rPr>
            </w:pPr>
          </w:p>
        </w:tc>
        <w:tc>
          <w:tcPr>
            <w:tcW w:w="220" w:type="dxa"/>
            <w:vAlign w:val="bottom"/>
            <w:tcBorders>
              <w:top w:val="single" w:sz="8" w:color="0000FF"/>
            </w:tcBorders>
          </w:tcPr>
          <w:p>
            <w:pPr>
              <w:spacing w:after="0"/>
              <w:rPr>
                <w:sz w:val="10"/>
                <w:szCs w:val="10"/>
                <w:color w:val="auto"/>
              </w:rPr>
            </w:pPr>
          </w:p>
        </w:tc>
        <w:tc>
          <w:tcPr>
            <w:tcW w:w="460" w:type="dxa"/>
            <w:vAlign w:val="bottom"/>
            <w:tcBorders>
              <w:top w:val="single" w:sz="8" w:color="0000FF"/>
            </w:tcBorders>
          </w:tcPr>
          <w:p>
            <w:pPr>
              <w:spacing w:after="0"/>
              <w:rPr>
                <w:sz w:val="10"/>
                <w:szCs w:val="10"/>
                <w:color w:val="auto"/>
              </w:rPr>
            </w:pPr>
          </w:p>
        </w:tc>
        <w:tc>
          <w:tcPr>
            <w:tcW w:w="74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780" w:type="dxa"/>
            <w:vAlign w:val="bottom"/>
            <w:tcBorders>
              <w:top w:val="single" w:sz="8" w:color="0000FF"/>
            </w:tcBorders>
          </w:tcPr>
          <w:p>
            <w:pPr>
              <w:spacing w:after="0"/>
              <w:rPr>
                <w:sz w:val="10"/>
                <w:szCs w:val="10"/>
                <w:color w:val="auto"/>
              </w:rPr>
            </w:pPr>
          </w:p>
        </w:tc>
        <w:tc>
          <w:tcPr>
            <w:tcW w:w="300" w:type="dxa"/>
            <w:vAlign w:val="bottom"/>
            <w:tcBorders>
              <w:top w:val="single" w:sz="8" w:color="0000FF"/>
            </w:tcBorders>
          </w:tcPr>
          <w:p>
            <w:pPr>
              <w:spacing w:after="0"/>
              <w:rPr>
                <w:sz w:val="10"/>
                <w:szCs w:val="10"/>
                <w:color w:val="auto"/>
              </w:rPr>
            </w:pPr>
          </w:p>
        </w:tc>
        <w:tc>
          <w:tcPr>
            <w:tcW w:w="2740" w:type="dxa"/>
            <w:vAlign w:val="bottom"/>
            <w:tcBorders>
              <w:top w:val="single" w:sz="8" w:color="0000FF"/>
            </w:tcBorders>
          </w:tcPr>
          <w:p>
            <w:pPr>
              <w:spacing w:after="0"/>
              <w:rPr>
                <w:sz w:val="10"/>
                <w:szCs w:val="10"/>
                <w:color w:val="auto"/>
              </w:rPr>
            </w:pPr>
          </w:p>
        </w:tc>
        <w:tc>
          <w:tcPr>
            <w:tcW w:w="178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60"/>
        </w:trPr>
        <w:tc>
          <w:tcPr>
            <w:tcW w:w="12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10.8 (a)</w:t>
            </w:r>
          </w:p>
        </w:tc>
        <w:tc>
          <w:tcPr>
            <w:tcW w:w="20" w:type="dxa"/>
            <w:vAlign w:val="bottom"/>
          </w:tcPr>
          <w:p>
            <w:pPr>
              <w:spacing w:after="0"/>
              <w:rPr>
                <w:sz w:val="13"/>
                <w:szCs w:val="13"/>
                <w:color w:val="auto"/>
              </w:rPr>
            </w:pPr>
          </w:p>
        </w:tc>
        <w:tc>
          <w:tcPr>
            <w:tcW w:w="10000" w:type="dxa"/>
            <w:vAlign w:val="bottom"/>
            <w:gridSpan w:val="38"/>
          </w:tcPr>
          <w:p>
            <w:pPr>
              <w:spacing w:after="0"/>
              <w:rPr>
                <w:rFonts w:ascii="Times New Roman" w:cs="Times New Roman" w:eastAsia="Times New Roman" w:hAnsi="Times New Roman"/>
                <w:sz w:val="14"/>
                <w:szCs w:val="14"/>
                <w:color w:val="0000FF"/>
              </w:rPr>
            </w:pPr>
            <w:hyperlink r:id="rId75">
              <w:r>
                <w:rPr>
                  <w:rFonts w:ascii="Times New Roman" w:cs="Times New Roman" w:eastAsia="Times New Roman" w:hAnsi="Times New Roman"/>
                  <w:sz w:val="14"/>
                  <w:szCs w:val="14"/>
                  <w:color w:val="0000FF"/>
                </w:rPr>
                <w:t>Surgery Partners, Inc. 2015 Omnibus Incentive Plan, as amended and restated effective January 1, 2020 (incorporated herein by reference as Exhibit 10.2 to the Company's</w:t>
              </w:r>
            </w:hyperlink>
          </w:p>
        </w:tc>
      </w:tr>
      <w:tr>
        <w:trPr>
          <w:trHeight w:val="186"/>
        </w:trPr>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460" w:type="dxa"/>
            <w:vAlign w:val="bottom"/>
            <w:tcBorders>
              <w:top w:val="single" w:sz="8" w:color="0000FF"/>
            </w:tcBorders>
            <w:gridSpan w:val="17"/>
          </w:tcPr>
          <w:p>
            <w:pPr>
              <w:spacing w:after="0"/>
              <w:rPr>
                <w:rFonts w:ascii="Times New Roman" w:cs="Times New Roman" w:eastAsia="Times New Roman" w:hAnsi="Times New Roman"/>
                <w:sz w:val="14"/>
                <w:szCs w:val="14"/>
                <w:color w:val="0000FF"/>
              </w:rPr>
            </w:pPr>
            <w:hyperlink r:id="rId75">
              <w:r>
                <w:rPr>
                  <w:rFonts w:ascii="Times New Roman" w:cs="Times New Roman" w:eastAsia="Times New Roman" w:hAnsi="Times New Roman"/>
                  <w:sz w:val="14"/>
                  <w:szCs w:val="14"/>
                  <w:color w:val="0000FF"/>
                </w:rPr>
                <w:t>Quarterly Report on Form 10-Q filed August 5, 2020).</w:t>
              </w:r>
            </w:hyperlink>
          </w:p>
        </w:tc>
        <w:tc>
          <w:tcPr>
            <w:tcW w:w="540" w:type="dxa"/>
            <w:vAlign w:val="bottom"/>
            <w:gridSpan w:val="21"/>
          </w:tcPr>
          <w:p>
            <w:pPr>
              <w:spacing w:after="0"/>
              <w:rPr>
                <w:sz w:val="16"/>
                <w:szCs w:val="16"/>
                <w:color w:val="auto"/>
              </w:rPr>
            </w:pPr>
          </w:p>
        </w:tc>
      </w:tr>
      <w:tr>
        <w:trPr>
          <w:trHeight w:val="20"/>
        </w:trPr>
        <w:tc>
          <w:tcPr>
            <w:tcW w:w="1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80" w:type="dxa"/>
            <w:vAlign w:val="bottom"/>
            <w:gridSpan w:val="7"/>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5840" w:type="dxa"/>
            <w:vAlign w:val="bottom"/>
            <w:gridSpan w:val="11"/>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3"/>
        </w:trPr>
        <w:tc>
          <w:tcPr>
            <w:tcW w:w="12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10.9 (a)</w:t>
            </w:r>
          </w:p>
        </w:tc>
        <w:tc>
          <w:tcPr>
            <w:tcW w:w="20" w:type="dxa"/>
            <w:vAlign w:val="bottom"/>
          </w:tcPr>
          <w:p>
            <w:pPr>
              <w:spacing w:after="0"/>
              <w:rPr>
                <w:sz w:val="15"/>
                <w:szCs w:val="15"/>
                <w:color w:val="auto"/>
              </w:rPr>
            </w:pPr>
          </w:p>
        </w:tc>
        <w:tc>
          <w:tcPr>
            <w:tcW w:w="10000" w:type="dxa"/>
            <w:vAlign w:val="bottom"/>
            <w:gridSpan w:val="38"/>
          </w:tcPr>
          <w:p>
            <w:pPr>
              <w:spacing w:after="0"/>
              <w:rPr>
                <w:rFonts w:ascii="Times New Roman" w:cs="Times New Roman" w:eastAsia="Times New Roman" w:hAnsi="Times New Roman"/>
                <w:sz w:val="14"/>
                <w:szCs w:val="14"/>
                <w:color w:val="0000FF"/>
                <w:w w:val="98"/>
              </w:rPr>
            </w:pPr>
            <w:hyperlink r:id="rId76">
              <w:r>
                <w:rPr>
                  <w:rFonts w:ascii="Times New Roman" w:cs="Times New Roman" w:eastAsia="Times New Roman" w:hAnsi="Times New Roman"/>
                  <w:sz w:val="14"/>
                  <w:szCs w:val="14"/>
                  <w:color w:val="0000FF"/>
                  <w:w w:val="98"/>
                </w:rPr>
                <w:t>Surgery Partners, Inc. 2025 Omnibus Incentive Plan (incorporated herein by reference to Appendix A to the Company’s Definitive Proxy Statement on Schedule 14A filed April 24,</w:t>
              </w:r>
            </w:hyperlink>
          </w:p>
        </w:tc>
      </w:tr>
      <w:tr>
        <w:trPr>
          <w:trHeight w:val="122"/>
        </w:trPr>
        <w:tc>
          <w:tcPr>
            <w:tcW w:w="1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tcBorders>
              <w:top w:val="single" w:sz="8" w:color="0000FF"/>
              <w:bottom w:val="single" w:sz="8" w:color="0000FF"/>
            </w:tcBorders>
          </w:tcPr>
          <w:p>
            <w:pPr>
              <w:spacing w:after="0" w:line="122" w:lineRule="exact"/>
              <w:rPr>
                <w:rFonts w:ascii="Times New Roman" w:cs="Times New Roman" w:eastAsia="Times New Roman" w:hAnsi="Times New Roman"/>
                <w:sz w:val="14"/>
                <w:szCs w:val="14"/>
                <w:color w:val="0000FF"/>
                <w:w w:val="88"/>
              </w:rPr>
            </w:pPr>
            <w:hyperlink r:id="rId76">
              <w:r>
                <w:rPr>
                  <w:rFonts w:ascii="Times New Roman" w:cs="Times New Roman" w:eastAsia="Times New Roman" w:hAnsi="Times New Roman"/>
                  <w:sz w:val="14"/>
                  <w:szCs w:val="14"/>
                  <w:color w:val="0000FF"/>
                  <w:w w:val="88"/>
                </w:rPr>
                <w:t>2025).</w:t>
              </w:r>
            </w:hyperlink>
          </w:p>
        </w:tc>
        <w:tc>
          <w:tcPr>
            <w:tcW w:w="220" w:type="dxa"/>
            <w:vAlign w:val="bottom"/>
            <w:tcBorders>
              <w:top w:val="single" w:sz="8" w:color="0000FF"/>
            </w:tcBorders>
          </w:tcPr>
          <w:p>
            <w:pPr>
              <w:spacing w:after="0"/>
              <w:rPr>
                <w:sz w:val="10"/>
                <w:szCs w:val="10"/>
                <w:color w:val="auto"/>
              </w:rPr>
            </w:pPr>
          </w:p>
        </w:tc>
        <w:tc>
          <w:tcPr>
            <w:tcW w:w="320" w:type="dxa"/>
            <w:vAlign w:val="bottom"/>
            <w:tcBorders>
              <w:top w:val="single" w:sz="8" w:color="0000FF"/>
            </w:tcBorders>
          </w:tcPr>
          <w:p>
            <w:pPr>
              <w:spacing w:after="0"/>
              <w:rPr>
                <w:sz w:val="10"/>
                <w:szCs w:val="10"/>
                <w:color w:val="auto"/>
              </w:rPr>
            </w:pPr>
          </w:p>
        </w:tc>
        <w:tc>
          <w:tcPr>
            <w:tcW w:w="280" w:type="dxa"/>
            <w:vAlign w:val="bottom"/>
            <w:tcBorders>
              <w:top w:val="single" w:sz="8" w:color="0000FF"/>
            </w:tcBorders>
          </w:tcPr>
          <w:p>
            <w:pPr>
              <w:spacing w:after="0"/>
              <w:rPr>
                <w:sz w:val="10"/>
                <w:szCs w:val="10"/>
                <w:color w:val="auto"/>
              </w:rPr>
            </w:pPr>
          </w:p>
        </w:tc>
        <w:tc>
          <w:tcPr>
            <w:tcW w:w="24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54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300" w:type="dxa"/>
            <w:vAlign w:val="bottom"/>
            <w:tcBorders>
              <w:top w:val="single" w:sz="8" w:color="0000FF"/>
            </w:tcBorders>
          </w:tcPr>
          <w:p>
            <w:pPr>
              <w:spacing w:after="0"/>
              <w:rPr>
                <w:sz w:val="10"/>
                <w:szCs w:val="10"/>
                <w:color w:val="auto"/>
              </w:rPr>
            </w:pPr>
          </w:p>
        </w:tc>
        <w:tc>
          <w:tcPr>
            <w:tcW w:w="220" w:type="dxa"/>
            <w:vAlign w:val="bottom"/>
            <w:tcBorders>
              <w:top w:val="single" w:sz="8" w:color="0000FF"/>
            </w:tcBorders>
          </w:tcPr>
          <w:p>
            <w:pPr>
              <w:spacing w:after="0"/>
              <w:rPr>
                <w:sz w:val="10"/>
                <w:szCs w:val="10"/>
                <w:color w:val="auto"/>
              </w:rPr>
            </w:pPr>
          </w:p>
        </w:tc>
        <w:tc>
          <w:tcPr>
            <w:tcW w:w="460" w:type="dxa"/>
            <w:vAlign w:val="bottom"/>
            <w:tcBorders>
              <w:top w:val="single" w:sz="8" w:color="0000FF"/>
            </w:tcBorders>
          </w:tcPr>
          <w:p>
            <w:pPr>
              <w:spacing w:after="0"/>
              <w:rPr>
                <w:sz w:val="10"/>
                <w:szCs w:val="10"/>
                <w:color w:val="auto"/>
              </w:rPr>
            </w:pPr>
          </w:p>
        </w:tc>
        <w:tc>
          <w:tcPr>
            <w:tcW w:w="74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780" w:type="dxa"/>
            <w:vAlign w:val="bottom"/>
            <w:tcBorders>
              <w:top w:val="single" w:sz="8" w:color="0000FF"/>
            </w:tcBorders>
          </w:tcPr>
          <w:p>
            <w:pPr>
              <w:spacing w:after="0"/>
              <w:rPr>
                <w:sz w:val="10"/>
                <w:szCs w:val="10"/>
                <w:color w:val="auto"/>
              </w:rPr>
            </w:pPr>
          </w:p>
        </w:tc>
        <w:tc>
          <w:tcPr>
            <w:tcW w:w="300" w:type="dxa"/>
            <w:vAlign w:val="bottom"/>
            <w:tcBorders>
              <w:top w:val="single" w:sz="8" w:color="0000FF"/>
            </w:tcBorders>
          </w:tcPr>
          <w:p>
            <w:pPr>
              <w:spacing w:after="0"/>
              <w:rPr>
                <w:sz w:val="10"/>
                <w:szCs w:val="10"/>
                <w:color w:val="auto"/>
              </w:rPr>
            </w:pPr>
          </w:p>
        </w:tc>
        <w:tc>
          <w:tcPr>
            <w:tcW w:w="2740" w:type="dxa"/>
            <w:vAlign w:val="bottom"/>
            <w:tcBorders>
              <w:top w:val="single" w:sz="8" w:color="0000FF"/>
            </w:tcBorders>
          </w:tcPr>
          <w:p>
            <w:pPr>
              <w:spacing w:after="0"/>
              <w:rPr>
                <w:sz w:val="10"/>
                <w:szCs w:val="10"/>
                <w:color w:val="auto"/>
              </w:rPr>
            </w:pPr>
          </w:p>
        </w:tc>
        <w:tc>
          <w:tcPr>
            <w:tcW w:w="178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73"/>
        </w:trPr>
        <w:tc>
          <w:tcPr>
            <w:tcW w:w="12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10.10 (a)</w:t>
            </w:r>
          </w:p>
        </w:tc>
        <w:tc>
          <w:tcPr>
            <w:tcW w:w="20" w:type="dxa"/>
            <w:vAlign w:val="bottom"/>
          </w:tcPr>
          <w:p>
            <w:pPr>
              <w:spacing w:after="0"/>
              <w:rPr>
                <w:sz w:val="15"/>
                <w:szCs w:val="15"/>
                <w:color w:val="auto"/>
              </w:rPr>
            </w:pPr>
          </w:p>
        </w:tc>
        <w:tc>
          <w:tcPr>
            <w:tcW w:w="10000" w:type="dxa"/>
            <w:vAlign w:val="bottom"/>
            <w:gridSpan w:val="38"/>
          </w:tcPr>
          <w:p>
            <w:pPr>
              <w:spacing w:after="0"/>
              <w:rPr>
                <w:rFonts w:ascii="Times New Roman" w:cs="Times New Roman" w:eastAsia="Times New Roman" w:hAnsi="Times New Roman"/>
                <w:sz w:val="14"/>
                <w:szCs w:val="14"/>
                <w:color w:val="0000FF"/>
                <w:w w:val="98"/>
              </w:rPr>
            </w:pPr>
            <w:hyperlink r:id="rId77">
              <w:r>
                <w:rPr>
                  <w:rFonts w:ascii="Times New Roman" w:cs="Times New Roman" w:eastAsia="Times New Roman" w:hAnsi="Times New Roman"/>
                  <w:sz w:val="14"/>
                  <w:szCs w:val="14"/>
                  <w:color w:val="0000FF"/>
                  <w:w w:val="98"/>
                </w:rPr>
                <w:t>First Amendment to the Surgery Partners, Inc. 2015 Omnibus Incentive Plan, as amended and restated effective January 1, 2020 (incorporated herein by reference to Exhibit 10.2 to</w:t>
              </w:r>
            </w:hyperlink>
          </w:p>
        </w:tc>
      </w:tr>
      <w:tr>
        <w:trPr>
          <w:trHeight w:val="135"/>
        </w:trPr>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60" w:type="dxa"/>
            <w:vAlign w:val="bottom"/>
            <w:tcBorders>
              <w:top w:val="single" w:sz="8" w:color="0000FF"/>
              <w:bottom w:val="single" w:sz="8" w:color="0000FF"/>
            </w:tcBorders>
            <w:gridSpan w:val="13"/>
          </w:tcPr>
          <w:p>
            <w:pPr>
              <w:spacing w:after="0" w:line="135" w:lineRule="exact"/>
              <w:rPr>
                <w:rFonts w:ascii="Times New Roman" w:cs="Times New Roman" w:eastAsia="Times New Roman" w:hAnsi="Times New Roman"/>
                <w:sz w:val="14"/>
                <w:szCs w:val="14"/>
                <w:color w:val="0000FF"/>
                <w:w w:val="97"/>
              </w:rPr>
            </w:pPr>
            <w:hyperlink r:id="rId77">
              <w:r>
                <w:rPr>
                  <w:rFonts w:ascii="Times New Roman" w:cs="Times New Roman" w:eastAsia="Times New Roman" w:hAnsi="Times New Roman"/>
                  <w:sz w:val="14"/>
                  <w:szCs w:val="14"/>
                  <w:color w:val="0000FF"/>
                  <w:w w:val="97"/>
                </w:rPr>
                <w:t>the Company’s Quarterly Report on Form 10-Q filed August 4, 2021).</w:t>
              </w:r>
            </w:hyperlink>
          </w:p>
        </w:tc>
        <w:tc>
          <w:tcPr>
            <w:tcW w:w="6040" w:type="dxa"/>
            <w:vAlign w:val="bottom"/>
            <w:tcBorders>
              <w:top w:val="single" w:sz="8" w:color="0000FF"/>
            </w:tcBorders>
            <w:gridSpan w:val="20"/>
          </w:tcPr>
          <w:p>
            <w:pPr>
              <w:spacing w:after="0"/>
              <w:rPr>
                <w:sz w:val="11"/>
                <w:szCs w:val="11"/>
                <w:color w:val="auto"/>
              </w:rPr>
            </w:pPr>
          </w:p>
        </w:tc>
        <w:tc>
          <w:tcPr>
            <w:tcW w:w="80" w:type="dxa"/>
            <w:vAlign w:val="bottom"/>
            <w:gridSpan w:val="4"/>
          </w:tcPr>
          <w:p>
            <w:pPr>
              <w:spacing w:after="0"/>
              <w:rPr>
                <w:sz w:val="11"/>
                <w:szCs w:val="11"/>
                <w:color w:val="auto"/>
              </w:rPr>
            </w:pPr>
          </w:p>
        </w:tc>
        <w:tc>
          <w:tcPr>
            <w:tcW w:w="20" w:type="dxa"/>
            <w:vAlign w:val="bottom"/>
          </w:tcPr>
          <w:p>
            <w:pPr>
              <w:spacing w:after="0"/>
              <w:rPr>
                <w:sz w:val="11"/>
                <w:szCs w:val="11"/>
                <w:color w:val="auto"/>
              </w:rPr>
            </w:pPr>
          </w:p>
        </w:tc>
      </w:tr>
      <w:tr>
        <w:trPr>
          <w:trHeight w:val="186"/>
        </w:trPr>
        <w:tc>
          <w:tcPr>
            <w:tcW w:w="12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10.11 (a)</w:t>
            </w:r>
          </w:p>
        </w:tc>
        <w:tc>
          <w:tcPr>
            <w:tcW w:w="20" w:type="dxa"/>
            <w:vAlign w:val="bottom"/>
          </w:tcPr>
          <w:p>
            <w:pPr>
              <w:spacing w:after="0"/>
              <w:rPr>
                <w:sz w:val="16"/>
                <w:szCs w:val="16"/>
                <w:color w:val="auto"/>
              </w:rPr>
            </w:pPr>
          </w:p>
        </w:tc>
        <w:tc>
          <w:tcPr>
            <w:tcW w:w="10000" w:type="dxa"/>
            <w:vAlign w:val="bottom"/>
            <w:gridSpan w:val="38"/>
          </w:tcPr>
          <w:p>
            <w:pPr>
              <w:spacing w:after="0"/>
              <w:rPr>
                <w:rFonts w:ascii="Times New Roman" w:cs="Times New Roman" w:eastAsia="Times New Roman" w:hAnsi="Times New Roman"/>
                <w:sz w:val="14"/>
                <w:szCs w:val="14"/>
                <w:color w:val="0000FF"/>
                <w:w w:val="99"/>
              </w:rPr>
            </w:pPr>
            <w:hyperlink r:id="rId78">
              <w:r>
                <w:rPr>
                  <w:rFonts w:ascii="Times New Roman" w:cs="Times New Roman" w:eastAsia="Times New Roman" w:hAnsi="Times New Roman"/>
                  <w:sz w:val="14"/>
                  <w:szCs w:val="14"/>
                  <w:color w:val="0000FF"/>
                  <w:w w:val="99"/>
                </w:rPr>
                <w:t>Surgery Partners, Inc. Cash Incentive Plan, as amended and restated effective January 1, 2020 (incorporated herein by reference to Exhibit 10.1 to the Company's Quarterly Report</w:t>
              </w:r>
            </w:hyperlink>
          </w:p>
        </w:tc>
      </w:tr>
      <w:tr>
        <w:trPr>
          <w:trHeight w:val="135"/>
        </w:trPr>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40" w:type="dxa"/>
            <w:vAlign w:val="bottom"/>
            <w:tcBorders>
              <w:top w:val="single" w:sz="8" w:color="0000FF"/>
            </w:tcBorders>
            <w:gridSpan w:val="31"/>
          </w:tcPr>
          <w:p>
            <w:pPr>
              <w:spacing w:after="0" w:line="135" w:lineRule="exact"/>
              <w:rPr>
                <w:rFonts w:ascii="Times New Roman" w:cs="Times New Roman" w:eastAsia="Times New Roman" w:hAnsi="Times New Roman"/>
                <w:sz w:val="14"/>
                <w:szCs w:val="14"/>
                <w:color w:val="0000FF"/>
              </w:rPr>
            </w:pPr>
            <w:hyperlink r:id="rId78">
              <w:r>
                <w:rPr>
                  <w:rFonts w:ascii="Times New Roman" w:cs="Times New Roman" w:eastAsia="Times New Roman" w:hAnsi="Times New Roman"/>
                  <w:sz w:val="14"/>
                  <w:szCs w:val="14"/>
                  <w:color w:val="0000FF"/>
                </w:rPr>
                <w:t>on Form 10-Q filed August 5, 2020).</w:t>
              </w:r>
            </w:hyperlink>
          </w:p>
        </w:tc>
        <w:tc>
          <w:tcPr>
            <w:tcW w:w="140" w:type="dxa"/>
            <w:vAlign w:val="bottom"/>
            <w:gridSpan w:val="6"/>
          </w:tcPr>
          <w:p>
            <w:pPr>
              <w:spacing w:after="0"/>
              <w:rPr>
                <w:sz w:val="11"/>
                <w:szCs w:val="11"/>
                <w:color w:val="auto"/>
              </w:rPr>
            </w:pPr>
          </w:p>
        </w:tc>
        <w:tc>
          <w:tcPr>
            <w:tcW w:w="20" w:type="dxa"/>
            <w:vAlign w:val="bottom"/>
          </w:tcPr>
          <w:p>
            <w:pPr>
              <w:spacing w:after="0"/>
              <w:rPr>
                <w:sz w:val="11"/>
                <w:szCs w:val="11"/>
                <w:color w:val="auto"/>
              </w:rPr>
            </w:pPr>
          </w:p>
        </w:tc>
      </w:tr>
      <w:tr>
        <w:trPr>
          <w:trHeight w:val="20"/>
        </w:trPr>
        <w:tc>
          <w:tcPr>
            <w:tcW w:w="1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gridSpan w:val="8"/>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380" w:type="dxa"/>
            <w:vAlign w:val="bottom"/>
            <w:gridSpan w:val="15"/>
          </w:tcPr>
          <w:p>
            <w:pPr>
              <w:spacing w:after="0" w:line="20" w:lineRule="exact"/>
              <w:rPr>
                <w:sz w:val="1"/>
                <w:szCs w:val="1"/>
                <w:color w:val="auto"/>
              </w:rPr>
            </w:pPr>
          </w:p>
        </w:tc>
        <w:tc>
          <w:tcPr>
            <w:tcW w:w="280" w:type="dxa"/>
            <w:vAlign w:val="bottom"/>
            <w:gridSpan w:val="1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6"/>
        </w:trPr>
        <w:tc>
          <w:tcPr>
            <w:tcW w:w="12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10.12 (a)</w:t>
            </w:r>
          </w:p>
        </w:tc>
        <w:tc>
          <w:tcPr>
            <w:tcW w:w="20" w:type="dxa"/>
            <w:vAlign w:val="bottom"/>
          </w:tcPr>
          <w:p>
            <w:pPr>
              <w:spacing w:after="0"/>
              <w:rPr>
                <w:sz w:val="16"/>
                <w:szCs w:val="16"/>
                <w:color w:val="auto"/>
              </w:rPr>
            </w:pPr>
          </w:p>
        </w:tc>
        <w:tc>
          <w:tcPr>
            <w:tcW w:w="10000" w:type="dxa"/>
            <w:vAlign w:val="bottom"/>
            <w:gridSpan w:val="38"/>
          </w:tcPr>
          <w:p>
            <w:pPr>
              <w:spacing w:after="0"/>
              <w:rPr>
                <w:rFonts w:ascii="Times New Roman" w:cs="Times New Roman" w:eastAsia="Times New Roman" w:hAnsi="Times New Roman"/>
                <w:sz w:val="14"/>
                <w:szCs w:val="14"/>
                <w:color w:val="0000FF"/>
                <w:w w:val="98"/>
              </w:rPr>
            </w:pPr>
            <w:hyperlink r:id="rId79">
              <w:r>
                <w:rPr>
                  <w:rFonts w:ascii="Times New Roman" w:cs="Times New Roman" w:eastAsia="Times New Roman" w:hAnsi="Times New Roman"/>
                  <w:sz w:val="14"/>
                  <w:szCs w:val="14"/>
                  <w:color w:val="0000FF"/>
                  <w:w w:val="98"/>
                </w:rPr>
                <w:t>Symbion, Inc. Supplemental Executive Retirement Plan, Effective May 1, 2005 (incorporated herein by reference to Exhibit 10.17 to the Company's Registration Statement on Form</w:t>
              </w:r>
            </w:hyperlink>
          </w:p>
        </w:tc>
      </w:tr>
      <w:tr>
        <w:trPr>
          <w:trHeight w:val="122"/>
        </w:trPr>
        <w:tc>
          <w:tcPr>
            <w:tcW w:w="1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980" w:type="dxa"/>
            <w:vAlign w:val="bottom"/>
            <w:tcBorders>
              <w:top w:val="single" w:sz="8" w:color="0000FF"/>
            </w:tcBorders>
            <w:gridSpan w:val="37"/>
          </w:tcPr>
          <w:p>
            <w:pPr>
              <w:spacing w:after="0" w:line="122" w:lineRule="exact"/>
              <w:rPr>
                <w:rFonts w:ascii="Times New Roman" w:cs="Times New Roman" w:eastAsia="Times New Roman" w:hAnsi="Times New Roman"/>
                <w:sz w:val="14"/>
                <w:szCs w:val="14"/>
                <w:color w:val="0000FF"/>
              </w:rPr>
            </w:pPr>
            <w:hyperlink r:id="rId79">
              <w:r>
                <w:rPr>
                  <w:rFonts w:ascii="Times New Roman" w:cs="Times New Roman" w:eastAsia="Times New Roman" w:hAnsi="Times New Roman"/>
                  <w:sz w:val="14"/>
                  <w:szCs w:val="14"/>
                  <w:color w:val="0000FF"/>
                </w:rPr>
                <w:t>S-1, Amended, filed September 21, 2015).</w:t>
              </w:r>
            </w:hyperlink>
          </w:p>
        </w:tc>
        <w:tc>
          <w:tcPr>
            <w:tcW w:w="20" w:type="dxa"/>
            <w:vAlign w:val="bottom"/>
          </w:tcPr>
          <w:p>
            <w:pPr>
              <w:spacing w:after="0"/>
              <w:rPr>
                <w:sz w:val="10"/>
                <w:szCs w:val="10"/>
                <w:color w:val="auto"/>
              </w:rPr>
            </w:pPr>
          </w:p>
        </w:tc>
      </w:tr>
      <w:tr>
        <w:trPr>
          <w:trHeight w:val="20"/>
        </w:trPr>
        <w:tc>
          <w:tcPr>
            <w:tcW w:w="1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20" w:type="dxa"/>
            <w:vAlign w:val="bottom"/>
            <w:gridSpan w:val="9"/>
            <w:shd w:val="clear" w:color="auto" w:fill="0000FF"/>
          </w:tcPr>
          <w:p>
            <w:pPr>
              <w:spacing w:after="0" w:line="20" w:lineRule="exact"/>
              <w:rPr>
                <w:sz w:val="1"/>
                <w:szCs w:val="1"/>
                <w:color w:val="auto"/>
              </w:rPr>
            </w:pPr>
          </w:p>
        </w:tc>
        <w:tc>
          <w:tcPr>
            <w:tcW w:w="7380" w:type="dxa"/>
            <w:vAlign w:val="bottom"/>
            <w:gridSpan w:val="15"/>
          </w:tcPr>
          <w:p>
            <w:pPr>
              <w:spacing w:after="0" w:line="20" w:lineRule="exact"/>
              <w:rPr>
                <w:sz w:val="1"/>
                <w:szCs w:val="1"/>
                <w:color w:val="auto"/>
              </w:rPr>
            </w:pPr>
          </w:p>
        </w:tc>
        <w:tc>
          <w:tcPr>
            <w:tcW w:w="300" w:type="dxa"/>
            <w:vAlign w:val="bottom"/>
            <w:gridSpan w:val="14"/>
          </w:tcPr>
          <w:p>
            <w:pPr>
              <w:spacing w:after="0" w:line="20" w:lineRule="exact"/>
              <w:rPr>
                <w:sz w:val="1"/>
                <w:szCs w:val="1"/>
                <w:color w:val="auto"/>
              </w:rPr>
            </w:pPr>
          </w:p>
        </w:tc>
      </w:tr>
      <w:tr>
        <w:trPr>
          <w:trHeight w:val="160"/>
        </w:trPr>
        <w:tc>
          <w:tcPr>
            <w:tcW w:w="12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10.13 (a)</w:t>
            </w:r>
          </w:p>
        </w:tc>
        <w:tc>
          <w:tcPr>
            <w:tcW w:w="20" w:type="dxa"/>
            <w:vAlign w:val="bottom"/>
          </w:tcPr>
          <w:p>
            <w:pPr>
              <w:spacing w:after="0"/>
              <w:rPr>
                <w:sz w:val="13"/>
                <w:szCs w:val="13"/>
                <w:color w:val="auto"/>
              </w:rPr>
            </w:pPr>
          </w:p>
        </w:tc>
        <w:tc>
          <w:tcPr>
            <w:tcW w:w="9720" w:type="dxa"/>
            <w:vAlign w:val="bottom"/>
            <w:tcBorders>
              <w:bottom w:val="single" w:sz="8" w:color="0000FF"/>
            </w:tcBorders>
            <w:gridSpan w:val="25"/>
          </w:tcPr>
          <w:p>
            <w:pPr>
              <w:spacing w:after="0"/>
              <w:rPr>
                <w:rFonts w:ascii="Times New Roman" w:cs="Times New Roman" w:eastAsia="Times New Roman" w:hAnsi="Times New Roman"/>
                <w:sz w:val="14"/>
                <w:szCs w:val="14"/>
                <w:color w:val="0000FF"/>
                <w:w w:val="98"/>
              </w:rPr>
            </w:pPr>
            <w:hyperlink r:id="rId80">
              <w:r>
                <w:rPr>
                  <w:rFonts w:ascii="Times New Roman" w:cs="Times New Roman" w:eastAsia="Times New Roman" w:hAnsi="Times New Roman"/>
                  <w:sz w:val="14"/>
                  <w:szCs w:val="14"/>
                  <w:color w:val="0000FF"/>
                  <w:w w:val="98"/>
                </w:rPr>
                <w:t>Form of Non-Statutory Stock Option Agreement (incorporated herein by reference to Exhibit 10.5 to the Company's Quarterly Report on Form 10-Q filed November 13, 2015).</w:t>
              </w:r>
            </w:hyperlink>
          </w:p>
        </w:tc>
        <w:tc>
          <w:tcPr>
            <w:tcW w:w="280" w:type="dxa"/>
            <w:vAlign w:val="bottom"/>
            <w:gridSpan w:val="13"/>
          </w:tcPr>
          <w:p>
            <w:pPr>
              <w:spacing w:after="0"/>
              <w:rPr>
                <w:sz w:val="13"/>
                <w:szCs w:val="1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2"/>
          <w:szCs w:val="12"/>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260" w:type="dxa"/>
            <w:vAlign w:val="bottom"/>
          </w:tcPr>
          <w:p>
            <w:pPr>
              <w:spacing w:after="0"/>
              <w:rPr>
                <w:sz w:val="20"/>
                <w:szCs w:val="20"/>
                <w:color w:val="auto"/>
              </w:rPr>
            </w:pPr>
            <w:r>
              <w:rPr>
                <w:rFonts w:ascii="Times New Roman" w:cs="Times New Roman" w:eastAsia="Times New Roman" w:hAnsi="Times New Roman"/>
                <w:sz w:val="14"/>
                <w:szCs w:val="14"/>
                <w:color w:val="auto"/>
              </w:rPr>
              <w:t>10.14 (a)</w:t>
            </w:r>
          </w:p>
        </w:tc>
        <w:tc>
          <w:tcPr>
            <w:tcW w:w="10000" w:type="dxa"/>
            <w:vAlign w:val="bottom"/>
            <w:gridSpan w:val="41"/>
          </w:tcPr>
          <w:p>
            <w:pPr>
              <w:spacing w:after="0"/>
              <w:rPr>
                <w:rFonts w:ascii="Times New Roman" w:cs="Times New Roman" w:eastAsia="Times New Roman" w:hAnsi="Times New Roman"/>
                <w:sz w:val="14"/>
                <w:szCs w:val="14"/>
                <w:color w:val="0000FF"/>
                <w:w w:val="99"/>
              </w:rPr>
            </w:pPr>
            <w:hyperlink r:id="rId82">
              <w:r>
                <w:rPr>
                  <w:rFonts w:ascii="Times New Roman" w:cs="Times New Roman" w:eastAsia="Times New Roman" w:hAnsi="Times New Roman"/>
                  <w:sz w:val="14"/>
                  <w:szCs w:val="14"/>
                  <w:color w:val="0000FF"/>
                  <w:w w:val="99"/>
                </w:rPr>
                <w:t>Form of Non-Employee Director Non-Statutory Stock Option Agreement (incorporated herein by reference to Exhibit 10.6 to the Company's Quarterly Report on Form 10-Q filed</w:t>
              </w:r>
            </w:hyperlink>
          </w:p>
        </w:tc>
        <w:tc>
          <w:tcPr>
            <w:tcW w:w="0" w:type="dxa"/>
            <w:vAlign w:val="bottom"/>
          </w:tcPr>
          <w:p>
            <w:pPr>
              <w:spacing w:after="0"/>
              <w:rPr>
                <w:sz w:val="1"/>
                <w:szCs w:val="1"/>
                <w:color w:val="auto"/>
              </w:rPr>
            </w:pPr>
          </w:p>
        </w:tc>
      </w:tr>
      <w:tr>
        <w:trPr>
          <w:trHeight w:val="122"/>
        </w:trPr>
        <w:tc>
          <w:tcPr>
            <w:tcW w:w="1260" w:type="dxa"/>
            <w:vAlign w:val="bottom"/>
          </w:tcPr>
          <w:p>
            <w:pPr>
              <w:spacing w:after="0"/>
              <w:rPr>
                <w:sz w:val="10"/>
                <w:szCs w:val="10"/>
                <w:color w:val="auto"/>
              </w:rPr>
            </w:pPr>
          </w:p>
        </w:tc>
        <w:tc>
          <w:tcPr>
            <w:tcW w:w="9820" w:type="dxa"/>
            <w:vAlign w:val="bottom"/>
            <w:tcBorders>
              <w:top w:val="single" w:sz="8" w:color="0000FF"/>
            </w:tcBorders>
            <w:gridSpan w:val="35"/>
          </w:tcPr>
          <w:p>
            <w:pPr>
              <w:spacing w:after="0" w:line="122" w:lineRule="exact"/>
              <w:rPr>
                <w:rFonts w:ascii="Times New Roman" w:cs="Times New Roman" w:eastAsia="Times New Roman" w:hAnsi="Times New Roman"/>
                <w:sz w:val="14"/>
                <w:szCs w:val="14"/>
                <w:color w:val="0000FF"/>
              </w:rPr>
            </w:pPr>
            <w:hyperlink r:id="rId82">
              <w:r>
                <w:rPr>
                  <w:rFonts w:ascii="Times New Roman" w:cs="Times New Roman" w:eastAsia="Times New Roman" w:hAnsi="Times New Roman"/>
                  <w:sz w:val="14"/>
                  <w:szCs w:val="14"/>
                  <w:color w:val="0000FF"/>
                </w:rPr>
                <w:t>November 13, 2015).</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2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10.15 (a)</w:t>
            </w:r>
          </w:p>
        </w:tc>
        <w:tc>
          <w:tcPr>
            <w:tcW w:w="3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1260" w:type="dxa"/>
            <w:vAlign w:val="bottom"/>
            <w:vMerge w:val="continue"/>
          </w:tcPr>
          <w:p>
            <w:pPr>
              <w:spacing w:after="0"/>
              <w:rPr>
                <w:sz w:val="15"/>
                <w:szCs w:val="15"/>
                <w:color w:val="auto"/>
              </w:rPr>
            </w:pPr>
          </w:p>
        </w:tc>
        <w:tc>
          <w:tcPr>
            <w:tcW w:w="9040" w:type="dxa"/>
            <w:vAlign w:val="bottom"/>
            <w:tcBorders>
              <w:bottom w:val="single" w:sz="8" w:color="0000FF"/>
            </w:tcBorders>
            <w:gridSpan w:val="22"/>
          </w:tcPr>
          <w:p>
            <w:pPr>
              <w:spacing w:after="0"/>
              <w:rPr>
                <w:rFonts w:ascii="Times New Roman" w:cs="Times New Roman" w:eastAsia="Times New Roman" w:hAnsi="Times New Roman"/>
                <w:sz w:val="14"/>
                <w:szCs w:val="14"/>
                <w:color w:val="0000FF"/>
                <w:w w:val="98"/>
              </w:rPr>
            </w:pPr>
            <w:hyperlink r:id="rId83">
              <w:r>
                <w:rPr>
                  <w:rFonts w:ascii="Times New Roman" w:cs="Times New Roman" w:eastAsia="Times New Roman" w:hAnsi="Times New Roman"/>
                  <w:sz w:val="14"/>
                  <w:szCs w:val="14"/>
                  <w:color w:val="0000FF"/>
                  <w:w w:val="98"/>
                </w:rPr>
                <w:t>Form of Restricted Stock Agreement (incorporated herein by reference to Exhibit 10.7 to the Company's Quarterly Report on Form 10-Q filed November 13, 2015).</w:t>
              </w:r>
            </w:hyperlink>
          </w:p>
        </w:tc>
        <w:tc>
          <w:tcPr>
            <w:tcW w:w="960" w:type="dxa"/>
            <w:vAlign w:val="bottom"/>
            <w:gridSpan w:val="19"/>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260" w:type="dxa"/>
            <w:vAlign w:val="bottom"/>
          </w:tcPr>
          <w:p>
            <w:pPr>
              <w:spacing w:after="0"/>
              <w:rPr>
                <w:sz w:val="20"/>
                <w:szCs w:val="20"/>
                <w:color w:val="auto"/>
              </w:rPr>
            </w:pPr>
            <w:r>
              <w:rPr>
                <w:rFonts w:ascii="Times New Roman" w:cs="Times New Roman" w:eastAsia="Times New Roman" w:hAnsi="Times New Roman"/>
                <w:sz w:val="14"/>
                <w:szCs w:val="14"/>
                <w:color w:val="auto"/>
              </w:rPr>
              <w:t>10.16 (a)</w:t>
            </w:r>
          </w:p>
        </w:tc>
        <w:tc>
          <w:tcPr>
            <w:tcW w:w="9020" w:type="dxa"/>
            <w:vAlign w:val="bottom"/>
            <w:tcBorders>
              <w:bottom w:val="single" w:sz="8" w:color="0000FF"/>
            </w:tcBorders>
            <w:gridSpan w:val="21"/>
          </w:tcPr>
          <w:p>
            <w:pPr>
              <w:spacing w:after="0"/>
              <w:rPr>
                <w:rFonts w:ascii="Times New Roman" w:cs="Times New Roman" w:eastAsia="Times New Roman" w:hAnsi="Times New Roman"/>
                <w:sz w:val="14"/>
                <w:szCs w:val="14"/>
                <w:color w:val="0000FF"/>
                <w:w w:val="97"/>
              </w:rPr>
            </w:pPr>
            <w:hyperlink r:id="rId84">
              <w:r>
                <w:rPr>
                  <w:rFonts w:ascii="Times New Roman" w:cs="Times New Roman" w:eastAsia="Times New Roman" w:hAnsi="Times New Roman"/>
                  <w:sz w:val="14"/>
                  <w:szCs w:val="14"/>
                  <w:color w:val="0000FF"/>
                  <w:w w:val="97"/>
                </w:rPr>
                <w:t>Form of Restricted Stock Award Agreement (incorporated herein by reference to Exhibit 99.1 to the Company's Current Report on Form 8-K filed March 15, 2016).</w:t>
              </w:r>
            </w:hyperlink>
          </w:p>
        </w:tc>
        <w:tc>
          <w:tcPr>
            <w:tcW w:w="980" w:type="dxa"/>
            <w:vAlign w:val="bottom"/>
            <w:gridSpan w:val="20"/>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260" w:type="dxa"/>
            <w:vAlign w:val="bottom"/>
          </w:tcPr>
          <w:p>
            <w:pPr>
              <w:spacing w:after="0"/>
              <w:rPr>
                <w:sz w:val="20"/>
                <w:szCs w:val="20"/>
                <w:color w:val="auto"/>
              </w:rPr>
            </w:pPr>
            <w:r>
              <w:rPr>
                <w:rFonts w:ascii="Times New Roman" w:cs="Times New Roman" w:eastAsia="Times New Roman" w:hAnsi="Times New Roman"/>
                <w:sz w:val="14"/>
                <w:szCs w:val="14"/>
                <w:color w:val="auto"/>
              </w:rPr>
              <w:t>10.17 (a)</w:t>
            </w:r>
          </w:p>
        </w:tc>
        <w:tc>
          <w:tcPr>
            <w:tcW w:w="10000" w:type="dxa"/>
            <w:vAlign w:val="bottom"/>
            <w:gridSpan w:val="41"/>
          </w:tcPr>
          <w:p>
            <w:pPr>
              <w:spacing w:after="0"/>
              <w:rPr>
                <w:rFonts w:ascii="Times New Roman" w:cs="Times New Roman" w:eastAsia="Times New Roman" w:hAnsi="Times New Roman"/>
                <w:sz w:val="14"/>
                <w:szCs w:val="14"/>
                <w:color w:val="0000FF"/>
              </w:rPr>
            </w:pPr>
            <w:hyperlink r:id="rId85">
              <w:r>
                <w:rPr>
                  <w:rFonts w:ascii="Times New Roman" w:cs="Times New Roman" w:eastAsia="Times New Roman" w:hAnsi="Times New Roman"/>
                  <w:sz w:val="14"/>
                  <w:szCs w:val="14"/>
                  <w:color w:val="0000FF"/>
                </w:rPr>
                <w:t>Form of Performance Stock Unit Award Agreement (incorporated herein by reference to Exhibit 10.1 to the Company's Current Report on Form 8-K filed July 5, 2016).</w:t>
              </w:r>
            </w:hyperlink>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1260" w:type="dxa"/>
            <w:vAlign w:val="bottom"/>
          </w:tcPr>
          <w:p>
            <w:pPr>
              <w:spacing w:after="0"/>
              <w:rPr>
                <w:sz w:val="20"/>
                <w:szCs w:val="20"/>
                <w:color w:val="auto"/>
              </w:rPr>
            </w:pPr>
            <w:r>
              <w:rPr>
                <w:rFonts w:ascii="Times New Roman" w:cs="Times New Roman" w:eastAsia="Times New Roman" w:hAnsi="Times New Roman"/>
                <w:sz w:val="14"/>
                <w:szCs w:val="14"/>
                <w:color w:val="auto"/>
              </w:rPr>
              <w:t>10.18 (a)</w:t>
            </w:r>
          </w:p>
        </w:tc>
        <w:tc>
          <w:tcPr>
            <w:tcW w:w="10000" w:type="dxa"/>
            <w:vAlign w:val="bottom"/>
            <w:gridSpan w:val="41"/>
          </w:tcPr>
          <w:p>
            <w:pPr>
              <w:spacing w:after="0"/>
              <w:rPr>
                <w:rFonts w:ascii="Times New Roman" w:cs="Times New Roman" w:eastAsia="Times New Roman" w:hAnsi="Times New Roman"/>
                <w:sz w:val="14"/>
                <w:szCs w:val="14"/>
                <w:color w:val="0000FF"/>
                <w:w w:val="99"/>
              </w:rPr>
            </w:pPr>
            <w:hyperlink r:id="rId86">
              <w:r>
                <w:rPr>
                  <w:rFonts w:ascii="Times New Roman" w:cs="Times New Roman" w:eastAsia="Times New Roman" w:hAnsi="Times New Roman"/>
                  <w:sz w:val="14"/>
                  <w:szCs w:val="14"/>
                  <w:color w:val="0000FF"/>
                  <w:w w:val="99"/>
                </w:rPr>
                <w:t>Form of Non-Employee Director Restricted Stock Award Agreement (incorporated herein by reference to Exhibit 10.1 to the Company's Current Report on Form 8-K filed April 3,</w:t>
              </w:r>
            </w:hyperlink>
          </w:p>
        </w:tc>
        <w:tc>
          <w:tcPr>
            <w:tcW w:w="0" w:type="dxa"/>
            <w:vAlign w:val="bottom"/>
          </w:tcPr>
          <w:p>
            <w:pPr>
              <w:spacing w:after="0"/>
              <w:rPr>
                <w:sz w:val="1"/>
                <w:szCs w:val="1"/>
                <w:color w:val="auto"/>
              </w:rPr>
            </w:pPr>
          </w:p>
        </w:tc>
      </w:tr>
      <w:tr>
        <w:trPr>
          <w:trHeight w:val="122"/>
        </w:trPr>
        <w:tc>
          <w:tcPr>
            <w:tcW w:w="1260" w:type="dxa"/>
            <w:vAlign w:val="bottom"/>
          </w:tcPr>
          <w:p>
            <w:pPr>
              <w:spacing w:after="0"/>
              <w:rPr>
                <w:sz w:val="10"/>
                <w:szCs w:val="10"/>
                <w:color w:val="auto"/>
              </w:rPr>
            </w:pPr>
          </w:p>
        </w:tc>
        <w:tc>
          <w:tcPr>
            <w:tcW w:w="340" w:type="dxa"/>
            <w:vAlign w:val="bottom"/>
            <w:tcBorders>
              <w:top w:val="single" w:sz="8" w:color="0000FF"/>
              <w:bottom w:val="single" w:sz="8" w:color="0000FF"/>
            </w:tcBorders>
          </w:tcPr>
          <w:p>
            <w:pPr>
              <w:spacing w:after="0" w:line="122" w:lineRule="exact"/>
              <w:rPr>
                <w:rFonts w:ascii="Times New Roman" w:cs="Times New Roman" w:eastAsia="Times New Roman" w:hAnsi="Times New Roman"/>
                <w:sz w:val="14"/>
                <w:szCs w:val="14"/>
                <w:color w:val="0000FF"/>
                <w:w w:val="88"/>
              </w:rPr>
            </w:pPr>
            <w:hyperlink r:id="rId86">
              <w:r>
                <w:rPr>
                  <w:rFonts w:ascii="Times New Roman" w:cs="Times New Roman" w:eastAsia="Times New Roman" w:hAnsi="Times New Roman"/>
                  <w:sz w:val="14"/>
                  <w:szCs w:val="14"/>
                  <w:color w:val="0000FF"/>
                  <w:w w:val="88"/>
                </w:rPr>
                <w:t>2017).</w:t>
              </w:r>
            </w:hyperlink>
          </w:p>
        </w:tc>
        <w:tc>
          <w:tcPr>
            <w:tcW w:w="220" w:type="dxa"/>
            <w:vAlign w:val="bottom"/>
            <w:tcBorders>
              <w:top w:val="single" w:sz="8" w:color="0000FF"/>
            </w:tcBorders>
          </w:tcPr>
          <w:p>
            <w:pPr>
              <w:spacing w:after="0"/>
              <w:rPr>
                <w:sz w:val="10"/>
                <w:szCs w:val="10"/>
                <w:color w:val="auto"/>
              </w:rPr>
            </w:pPr>
          </w:p>
        </w:tc>
        <w:tc>
          <w:tcPr>
            <w:tcW w:w="360" w:type="dxa"/>
            <w:vAlign w:val="bottom"/>
            <w:tcBorders>
              <w:top w:val="single" w:sz="8" w:color="0000FF"/>
            </w:tcBorders>
          </w:tcPr>
          <w:p>
            <w:pPr>
              <w:spacing w:after="0"/>
              <w:rPr>
                <w:sz w:val="10"/>
                <w:szCs w:val="10"/>
                <w:color w:val="auto"/>
              </w:rPr>
            </w:pPr>
          </w:p>
        </w:tc>
        <w:tc>
          <w:tcPr>
            <w:tcW w:w="240" w:type="dxa"/>
            <w:vAlign w:val="bottom"/>
            <w:tcBorders>
              <w:top w:val="single" w:sz="8" w:color="0000FF"/>
            </w:tcBorders>
          </w:tcPr>
          <w:p>
            <w:pPr>
              <w:spacing w:after="0"/>
              <w:rPr>
                <w:sz w:val="10"/>
                <w:szCs w:val="10"/>
                <w:color w:val="auto"/>
              </w:rPr>
            </w:pPr>
          </w:p>
        </w:tc>
        <w:tc>
          <w:tcPr>
            <w:tcW w:w="440" w:type="dxa"/>
            <w:vAlign w:val="bottom"/>
            <w:tcBorders>
              <w:top w:val="single" w:sz="8" w:color="0000FF"/>
            </w:tcBorders>
          </w:tcPr>
          <w:p>
            <w:pPr>
              <w:spacing w:after="0"/>
              <w:rPr>
                <w:sz w:val="10"/>
                <w:szCs w:val="10"/>
                <w:color w:val="auto"/>
              </w:rPr>
            </w:pPr>
          </w:p>
        </w:tc>
        <w:tc>
          <w:tcPr>
            <w:tcW w:w="440" w:type="dxa"/>
            <w:vAlign w:val="bottom"/>
            <w:tcBorders>
              <w:top w:val="single" w:sz="8" w:color="0000FF"/>
            </w:tcBorders>
          </w:tcPr>
          <w:p>
            <w:pPr>
              <w:spacing w:after="0"/>
              <w:rPr>
                <w:sz w:val="10"/>
                <w:szCs w:val="10"/>
                <w:color w:val="auto"/>
              </w:rPr>
            </w:pPr>
          </w:p>
        </w:tc>
        <w:tc>
          <w:tcPr>
            <w:tcW w:w="520" w:type="dxa"/>
            <w:vAlign w:val="bottom"/>
            <w:tcBorders>
              <w:top w:val="single" w:sz="8" w:color="0000FF"/>
            </w:tcBorders>
          </w:tcPr>
          <w:p>
            <w:pPr>
              <w:spacing w:after="0"/>
              <w:rPr>
                <w:sz w:val="10"/>
                <w:szCs w:val="10"/>
                <w:color w:val="auto"/>
              </w:rPr>
            </w:pPr>
          </w:p>
        </w:tc>
        <w:tc>
          <w:tcPr>
            <w:tcW w:w="520" w:type="dxa"/>
            <w:vAlign w:val="bottom"/>
            <w:tcBorders>
              <w:top w:val="single" w:sz="8" w:color="0000FF"/>
            </w:tcBorders>
          </w:tcPr>
          <w:p>
            <w:pPr>
              <w:spacing w:after="0"/>
              <w:rPr>
                <w:sz w:val="10"/>
                <w:szCs w:val="10"/>
                <w:color w:val="auto"/>
              </w:rPr>
            </w:pPr>
          </w:p>
        </w:tc>
        <w:tc>
          <w:tcPr>
            <w:tcW w:w="160" w:type="dxa"/>
            <w:vAlign w:val="bottom"/>
            <w:tcBorders>
              <w:top w:val="single" w:sz="8" w:color="0000FF"/>
            </w:tcBorders>
          </w:tcPr>
          <w:p>
            <w:pPr>
              <w:spacing w:after="0"/>
              <w:rPr>
                <w:sz w:val="10"/>
                <w:szCs w:val="10"/>
                <w:color w:val="auto"/>
              </w:rPr>
            </w:pPr>
          </w:p>
        </w:tc>
        <w:tc>
          <w:tcPr>
            <w:tcW w:w="420" w:type="dxa"/>
            <w:vAlign w:val="bottom"/>
            <w:tcBorders>
              <w:top w:val="single" w:sz="8" w:color="0000FF"/>
            </w:tcBorders>
          </w:tcPr>
          <w:p>
            <w:pPr>
              <w:spacing w:after="0"/>
              <w:rPr>
                <w:sz w:val="10"/>
                <w:szCs w:val="10"/>
                <w:color w:val="auto"/>
              </w:rPr>
            </w:pPr>
          </w:p>
        </w:tc>
        <w:tc>
          <w:tcPr>
            <w:tcW w:w="24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140" w:type="dxa"/>
            <w:vAlign w:val="bottom"/>
            <w:tcBorders>
              <w:top w:val="single" w:sz="8" w:color="0000FF"/>
            </w:tcBorders>
          </w:tcPr>
          <w:p>
            <w:pPr>
              <w:spacing w:after="0"/>
              <w:rPr>
                <w:sz w:val="10"/>
                <w:szCs w:val="10"/>
                <w:color w:val="auto"/>
              </w:rPr>
            </w:pPr>
          </w:p>
        </w:tc>
        <w:tc>
          <w:tcPr>
            <w:tcW w:w="440" w:type="dxa"/>
            <w:vAlign w:val="bottom"/>
            <w:tcBorders>
              <w:top w:val="single" w:sz="8" w:color="0000FF"/>
            </w:tcBorders>
          </w:tcPr>
          <w:p>
            <w:pPr>
              <w:spacing w:after="0"/>
              <w:rPr>
                <w:sz w:val="10"/>
                <w:szCs w:val="10"/>
                <w:color w:val="auto"/>
              </w:rPr>
            </w:pPr>
          </w:p>
        </w:tc>
        <w:tc>
          <w:tcPr>
            <w:tcW w:w="920" w:type="dxa"/>
            <w:vAlign w:val="bottom"/>
            <w:tcBorders>
              <w:top w:val="single" w:sz="8" w:color="0000FF"/>
            </w:tcBorders>
          </w:tcPr>
          <w:p>
            <w:pPr>
              <w:spacing w:after="0"/>
              <w:rPr>
                <w:sz w:val="10"/>
                <w:szCs w:val="10"/>
                <w:color w:val="auto"/>
              </w:rPr>
            </w:pPr>
          </w:p>
        </w:tc>
        <w:tc>
          <w:tcPr>
            <w:tcW w:w="1160" w:type="dxa"/>
            <w:vAlign w:val="bottom"/>
            <w:tcBorders>
              <w:top w:val="single" w:sz="8" w:color="0000FF"/>
            </w:tcBorders>
          </w:tcPr>
          <w:p>
            <w:pPr>
              <w:spacing w:after="0"/>
              <w:rPr>
                <w:sz w:val="10"/>
                <w:szCs w:val="10"/>
                <w:color w:val="auto"/>
              </w:rPr>
            </w:pPr>
          </w:p>
        </w:tc>
        <w:tc>
          <w:tcPr>
            <w:tcW w:w="280" w:type="dxa"/>
            <w:vAlign w:val="bottom"/>
            <w:tcBorders>
              <w:top w:val="single" w:sz="8" w:color="0000FF"/>
            </w:tcBorders>
          </w:tcPr>
          <w:p>
            <w:pPr>
              <w:spacing w:after="0"/>
              <w:rPr>
                <w:sz w:val="10"/>
                <w:szCs w:val="10"/>
                <w:color w:val="auto"/>
              </w:rPr>
            </w:pPr>
          </w:p>
        </w:tc>
        <w:tc>
          <w:tcPr>
            <w:tcW w:w="980" w:type="dxa"/>
            <w:vAlign w:val="bottom"/>
            <w:tcBorders>
              <w:top w:val="single" w:sz="8" w:color="0000FF"/>
            </w:tcBorders>
          </w:tcPr>
          <w:p>
            <w:pPr>
              <w:spacing w:after="0"/>
              <w:rPr>
                <w:sz w:val="10"/>
                <w:szCs w:val="10"/>
                <w:color w:val="auto"/>
              </w:rPr>
            </w:pPr>
          </w:p>
        </w:tc>
        <w:tc>
          <w:tcPr>
            <w:tcW w:w="800" w:type="dxa"/>
            <w:vAlign w:val="bottom"/>
            <w:tcBorders>
              <w:top w:val="single" w:sz="8" w:color="0000FF"/>
            </w:tcBorders>
          </w:tcPr>
          <w:p>
            <w:pPr>
              <w:spacing w:after="0"/>
              <w:rPr>
                <w:sz w:val="10"/>
                <w:szCs w:val="10"/>
                <w:color w:val="auto"/>
              </w:rPr>
            </w:pPr>
          </w:p>
        </w:tc>
        <w:tc>
          <w:tcPr>
            <w:tcW w:w="28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20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1260" w:type="dxa"/>
            <w:vAlign w:val="bottom"/>
          </w:tcPr>
          <w:p>
            <w:pPr>
              <w:spacing w:after="0"/>
              <w:rPr>
                <w:sz w:val="20"/>
                <w:szCs w:val="20"/>
                <w:color w:val="auto"/>
              </w:rPr>
            </w:pPr>
            <w:r>
              <w:rPr>
                <w:rFonts w:ascii="Times New Roman" w:cs="Times New Roman" w:eastAsia="Times New Roman" w:hAnsi="Times New Roman"/>
                <w:sz w:val="14"/>
                <w:szCs w:val="14"/>
                <w:color w:val="auto"/>
              </w:rPr>
              <w:t>10.19 (a)</w:t>
            </w:r>
          </w:p>
        </w:tc>
        <w:tc>
          <w:tcPr>
            <w:tcW w:w="10000" w:type="dxa"/>
            <w:vAlign w:val="bottom"/>
            <w:gridSpan w:val="41"/>
          </w:tcPr>
          <w:p>
            <w:pPr>
              <w:spacing w:after="0"/>
              <w:rPr>
                <w:rFonts w:ascii="Times New Roman" w:cs="Times New Roman" w:eastAsia="Times New Roman" w:hAnsi="Times New Roman"/>
                <w:sz w:val="14"/>
                <w:szCs w:val="14"/>
                <w:color w:val="0000FF"/>
              </w:rPr>
            </w:pPr>
            <w:hyperlink r:id="rId87">
              <w:r>
                <w:rPr>
                  <w:rFonts w:ascii="Times New Roman" w:cs="Times New Roman" w:eastAsia="Times New Roman" w:hAnsi="Times New Roman"/>
                  <w:sz w:val="14"/>
                  <w:szCs w:val="14"/>
                  <w:color w:val="0000FF"/>
                </w:rPr>
                <w:t>Form of Stock-Settled Stock Appreciation Right Agreement (incorporated herein by reference to Exhibit 10.1 to the Company's Current Report on Form 8-K filed December 20,</w:t>
              </w:r>
            </w:hyperlink>
          </w:p>
        </w:tc>
        <w:tc>
          <w:tcPr>
            <w:tcW w:w="0" w:type="dxa"/>
            <w:vAlign w:val="bottom"/>
          </w:tcPr>
          <w:p>
            <w:pPr>
              <w:spacing w:after="0"/>
              <w:rPr>
                <w:sz w:val="1"/>
                <w:szCs w:val="1"/>
                <w:color w:val="auto"/>
              </w:rPr>
            </w:pPr>
          </w:p>
        </w:tc>
      </w:tr>
      <w:tr>
        <w:trPr>
          <w:trHeight w:val="122"/>
        </w:trPr>
        <w:tc>
          <w:tcPr>
            <w:tcW w:w="1260" w:type="dxa"/>
            <w:vAlign w:val="bottom"/>
          </w:tcPr>
          <w:p>
            <w:pPr>
              <w:spacing w:after="0"/>
              <w:rPr>
                <w:sz w:val="10"/>
                <w:szCs w:val="10"/>
                <w:color w:val="auto"/>
              </w:rPr>
            </w:pPr>
          </w:p>
        </w:tc>
        <w:tc>
          <w:tcPr>
            <w:tcW w:w="340" w:type="dxa"/>
            <w:vAlign w:val="bottom"/>
            <w:tcBorders>
              <w:top w:val="single" w:sz="8" w:color="0000FF"/>
              <w:bottom w:val="single" w:sz="8" w:color="0000FF"/>
            </w:tcBorders>
          </w:tcPr>
          <w:p>
            <w:pPr>
              <w:spacing w:after="0" w:line="122" w:lineRule="exact"/>
              <w:rPr>
                <w:rFonts w:ascii="Times New Roman" w:cs="Times New Roman" w:eastAsia="Times New Roman" w:hAnsi="Times New Roman"/>
                <w:sz w:val="14"/>
                <w:szCs w:val="14"/>
                <w:color w:val="0000FF"/>
                <w:w w:val="88"/>
              </w:rPr>
            </w:pPr>
            <w:hyperlink r:id="rId87">
              <w:r>
                <w:rPr>
                  <w:rFonts w:ascii="Times New Roman" w:cs="Times New Roman" w:eastAsia="Times New Roman" w:hAnsi="Times New Roman"/>
                  <w:sz w:val="14"/>
                  <w:szCs w:val="14"/>
                  <w:color w:val="0000FF"/>
                  <w:w w:val="88"/>
                </w:rPr>
                <w:t>2018).</w:t>
              </w:r>
            </w:hyperlink>
          </w:p>
        </w:tc>
        <w:tc>
          <w:tcPr>
            <w:tcW w:w="220" w:type="dxa"/>
            <w:vAlign w:val="bottom"/>
            <w:tcBorders>
              <w:top w:val="single" w:sz="8" w:color="0000FF"/>
            </w:tcBorders>
          </w:tcPr>
          <w:p>
            <w:pPr>
              <w:spacing w:after="0"/>
              <w:rPr>
                <w:sz w:val="10"/>
                <w:szCs w:val="10"/>
                <w:color w:val="auto"/>
              </w:rPr>
            </w:pPr>
          </w:p>
        </w:tc>
        <w:tc>
          <w:tcPr>
            <w:tcW w:w="360" w:type="dxa"/>
            <w:vAlign w:val="bottom"/>
            <w:tcBorders>
              <w:top w:val="single" w:sz="8" w:color="0000FF"/>
            </w:tcBorders>
          </w:tcPr>
          <w:p>
            <w:pPr>
              <w:spacing w:after="0"/>
              <w:rPr>
                <w:sz w:val="10"/>
                <w:szCs w:val="10"/>
                <w:color w:val="auto"/>
              </w:rPr>
            </w:pPr>
          </w:p>
        </w:tc>
        <w:tc>
          <w:tcPr>
            <w:tcW w:w="240" w:type="dxa"/>
            <w:vAlign w:val="bottom"/>
            <w:tcBorders>
              <w:top w:val="single" w:sz="8" w:color="0000FF"/>
            </w:tcBorders>
          </w:tcPr>
          <w:p>
            <w:pPr>
              <w:spacing w:after="0"/>
              <w:rPr>
                <w:sz w:val="10"/>
                <w:szCs w:val="10"/>
                <w:color w:val="auto"/>
              </w:rPr>
            </w:pPr>
          </w:p>
        </w:tc>
        <w:tc>
          <w:tcPr>
            <w:tcW w:w="440" w:type="dxa"/>
            <w:vAlign w:val="bottom"/>
            <w:tcBorders>
              <w:top w:val="single" w:sz="8" w:color="0000FF"/>
            </w:tcBorders>
          </w:tcPr>
          <w:p>
            <w:pPr>
              <w:spacing w:after="0"/>
              <w:rPr>
                <w:sz w:val="10"/>
                <w:szCs w:val="10"/>
                <w:color w:val="auto"/>
              </w:rPr>
            </w:pPr>
          </w:p>
        </w:tc>
        <w:tc>
          <w:tcPr>
            <w:tcW w:w="440" w:type="dxa"/>
            <w:vAlign w:val="bottom"/>
            <w:tcBorders>
              <w:top w:val="single" w:sz="8" w:color="0000FF"/>
            </w:tcBorders>
          </w:tcPr>
          <w:p>
            <w:pPr>
              <w:spacing w:after="0"/>
              <w:rPr>
                <w:sz w:val="10"/>
                <w:szCs w:val="10"/>
                <w:color w:val="auto"/>
              </w:rPr>
            </w:pPr>
          </w:p>
        </w:tc>
        <w:tc>
          <w:tcPr>
            <w:tcW w:w="520" w:type="dxa"/>
            <w:vAlign w:val="bottom"/>
            <w:tcBorders>
              <w:top w:val="single" w:sz="8" w:color="0000FF"/>
            </w:tcBorders>
          </w:tcPr>
          <w:p>
            <w:pPr>
              <w:spacing w:after="0"/>
              <w:rPr>
                <w:sz w:val="10"/>
                <w:szCs w:val="10"/>
                <w:color w:val="auto"/>
              </w:rPr>
            </w:pPr>
          </w:p>
        </w:tc>
        <w:tc>
          <w:tcPr>
            <w:tcW w:w="520" w:type="dxa"/>
            <w:vAlign w:val="bottom"/>
            <w:tcBorders>
              <w:top w:val="single" w:sz="8" w:color="0000FF"/>
            </w:tcBorders>
          </w:tcPr>
          <w:p>
            <w:pPr>
              <w:spacing w:after="0"/>
              <w:rPr>
                <w:sz w:val="10"/>
                <w:szCs w:val="10"/>
                <w:color w:val="auto"/>
              </w:rPr>
            </w:pPr>
          </w:p>
        </w:tc>
        <w:tc>
          <w:tcPr>
            <w:tcW w:w="160" w:type="dxa"/>
            <w:vAlign w:val="bottom"/>
            <w:tcBorders>
              <w:top w:val="single" w:sz="8" w:color="0000FF"/>
            </w:tcBorders>
          </w:tcPr>
          <w:p>
            <w:pPr>
              <w:spacing w:after="0"/>
              <w:rPr>
                <w:sz w:val="10"/>
                <w:szCs w:val="10"/>
                <w:color w:val="auto"/>
              </w:rPr>
            </w:pPr>
          </w:p>
        </w:tc>
        <w:tc>
          <w:tcPr>
            <w:tcW w:w="420" w:type="dxa"/>
            <w:vAlign w:val="bottom"/>
            <w:tcBorders>
              <w:top w:val="single" w:sz="8" w:color="0000FF"/>
            </w:tcBorders>
          </w:tcPr>
          <w:p>
            <w:pPr>
              <w:spacing w:after="0"/>
              <w:rPr>
                <w:sz w:val="10"/>
                <w:szCs w:val="10"/>
                <w:color w:val="auto"/>
              </w:rPr>
            </w:pPr>
          </w:p>
        </w:tc>
        <w:tc>
          <w:tcPr>
            <w:tcW w:w="24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140" w:type="dxa"/>
            <w:vAlign w:val="bottom"/>
            <w:tcBorders>
              <w:top w:val="single" w:sz="8" w:color="0000FF"/>
            </w:tcBorders>
          </w:tcPr>
          <w:p>
            <w:pPr>
              <w:spacing w:after="0"/>
              <w:rPr>
                <w:sz w:val="10"/>
                <w:szCs w:val="10"/>
                <w:color w:val="auto"/>
              </w:rPr>
            </w:pPr>
          </w:p>
        </w:tc>
        <w:tc>
          <w:tcPr>
            <w:tcW w:w="440" w:type="dxa"/>
            <w:vAlign w:val="bottom"/>
            <w:tcBorders>
              <w:top w:val="single" w:sz="8" w:color="0000FF"/>
            </w:tcBorders>
          </w:tcPr>
          <w:p>
            <w:pPr>
              <w:spacing w:after="0"/>
              <w:rPr>
                <w:sz w:val="10"/>
                <w:szCs w:val="10"/>
                <w:color w:val="auto"/>
              </w:rPr>
            </w:pPr>
          </w:p>
        </w:tc>
        <w:tc>
          <w:tcPr>
            <w:tcW w:w="920" w:type="dxa"/>
            <w:vAlign w:val="bottom"/>
            <w:tcBorders>
              <w:top w:val="single" w:sz="8" w:color="0000FF"/>
            </w:tcBorders>
          </w:tcPr>
          <w:p>
            <w:pPr>
              <w:spacing w:after="0"/>
              <w:rPr>
                <w:sz w:val="10"/>
                <w:szCs w:val="10"/>
                <w:color w:val="auto"/>
              </w:rPr>
            </w:pPr>
          </w:p>
        </w:tc>
        <w:tc>
          <w:tcPr>
            <w:tcW w:w="1160" w:type="dxa"/>
            <w:vAlign w:val="bottom"/>
            <w:tcBorders>
              <w:top w:val="single" w:sz="8" w:color="0000FF"/>
            </w:tcBorders>
          </w:tcPr>
          <w:p>
            <w:pPr>
              <w:spacing w:after="0"/>
              <w:rPr>
                <w:sz w:val="10"/>
                <w:szCs w:val="10"/>
                <w:color w:val="auto"/>
              </w:rPr>
            </w:pPr>
          </w:p>
        </w:tc>
        <w:tc>
          <w:tcPr>
            <w:tcW w:w="280" w:type="dxa"/>
            <w:vAlign w:val="bottom"/>
            <w:tcBorders>
              <w:top w:val="single" w:sz="8" w:color="0000FF"/>
            </w:tcBorders>
          </w:tcPr>
          <w:p>
            <w:pPr>
              <w:spacing w:after="0"/>
              <w:rPr>
                <w:sz w:val="10"/>
                <w:szCs w:val="10"/>
                <w:color w:val="auto"/>
              </w:rPr>
            </w:pPr>
          </w:p>
        </w:tc>
        <w:tc>
          <w:tcPr>
            <w:tcW w:w="980" w:type="dxa"/>
            <w:vAlign w:val="bottom"/>
            <w:tcBorders>
              <w:top w:val="single" w:sz="8" w:color="0000FF"/>
            </w:tcBorders>
          </w:tcPr>
          <w:p>
            <w:pPr>
              <w:spacing w:after="0"/>
              <w:rPr>
                <w:sz w:val="10"/>
                <w:szCs w:val="10"/>
                <w:color w:val="auto"/>
              </w:rPr>
            </w:pPr>
          </w:p>
        </w:tc>
        <w:tc>
          <w:tcPr>
            <w:tcW w:w="800" w:type="dxa"/>
            <w:vAlign w:val="bottom"/>
            <w:tcBorders>
              <w:top w:val="single" w:sz="8" w:color="0000FF"/>
            </w:tcBorders>
          </w:tcPr>
          <w:p>
            <w:pPr>
              <w:spacing w:after="0"/>
              <w:rPr>
                <w:sz w:val="10"/>
                <w:szCs w:val="10"/>
                <w:color w:val="auto"/>
              </w:rPr>
            </w:pPr>
          </w:p>
        </w:tc>
        <w:tc>
          <w:tcPr>
            <w:tcW w:w="28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20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1260" w:type="dxa"/>
            <w:vAlign w:val="bottom"/>
          </w:tcPr>
          <w:p>
            <w:pPr>
              <w:spacing w:after="0"/>
              <w:rPr>
                <w:sz w:val="20"/>
                <w:szCs w:val="20"/>
                <w:color w:val="auto"/>
              </w:rPr>
            </w:pPr>
            <w:r>
              <w:rPr>
                <w:rFonts w:ascii="Times New Roman" w:cs="Times New Roman" w:eastAsia="Times New Roman" w:hAnsi="Times New Roman"/>
                <w:sz w:val="14"/>
                <w:szCs w:val="14"/>
                <w:color w:val="auto"/>
              </w:rPr>
              <w:t>10.20 (a)</w:t>
            </w:r>
          </w:p>
        </w:tc>
        <w:tc>
          <w:tcPr>
            <w:tcW w:w="8980" w:type="dxa"/>
            <w:vAlign w:val="bottom"/>
            <w:tcBorders>
              <w:bottom w:val="single" w:sz="8" w:color="0000FF"/>
            </w:tcBorders>
            <w:gridSpan w:val="20"/>
          </w:tcPr>
          <w:p>
            <w:pPr>
              <w:spacing w:after="0"/>
              <w:rPr>
                <w:rFonts w:ascii="Times New Roman" w:cs="Times New Roman" w:eastAsia="Times New Roman" w:hAnsi="Times New Roman"/>
                <w:sz w:val="14"/>
                <w:szCs w:val="14"/>
                <w:color w:val="0000FF"/>
                <w:w w:val="97"/>
              </w:rPr>
            </w:pPr>
            <w:hyperlink r:id="rId88">
              <w:r>
                <w:rPr>
                  <w:rFonts w:ascii="Times New Roman" w:cs="Times New Roman" w:eastAsia="Times New Roman" w:hAnsi="Times New Roman"/>
                  <w:sz w:val="14"/>
                  <w:szCs w:val="14"/>
                  <w:color w:val="0000FF"/>
                  <w:w w:val="97"/>
                </w:rPr>
                <w:t>Surgery Partners, Inc. Employee Stock Purchase Plan (incorporated herein by reference to Appendix A of the Company's Proxy Statement filed on April 25, 2024).</w:t>
              </w:r>
            </w:hyperlink>
          </w:p>
        </w:tc>
        <w:tc>
          <w:tcPr>
            <w:tcW w:w="1020" w:type="dxa"/>
            <w:vAlign w:val="bottom"/>
            <w:gridSpan w:val="21"/>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1260" w:type="dxa"/>
            <w:vAlign w:val="bottom"/>
          </w:tcPr>
          <w:p>
            <w:pPr>
              <w:spacing w:after="0"/>
              <w:rPr>
                <w:sz w:val="20"/>
                <w:szCs w:val="20"/>
                <w:color w:val="auto"/>
              </w:rPr>
            </w:pPr>
            <w:r>
              <w:rPr>
                <w:rFonts w:ascii="Times New Roman" w:cs="Times New Roman" w:eastAsia="Times New Roman" w:hAnsi="Times New Roman"/>
                <w:sz w:val="14"/>
                <w:szCs w:val="14"/>
                <w:color w:val="auto"/>
              </w:rPr>
              <w:t>10.21 (a)</w:t>
            </w:r>
          </w:p>
        </w:tc>
        <w:tc>
          <w:tcPr>
            <w:tcW w:w="10000" w:type="dxa"/>
            <w:vAlign w:val="bottom"/>
            <w:gridSpan w:val="41"/>
          </w:tcPr>
          <w:p>
            <w:pPr>
              <w:spacing w:after="0"/>
              <w:rPr>
                <w:rFonts w:ascii="Times New Roman" w:cs="Times New Roman" w:eastAsia="Times New Roman" w:hAnsi="Times New Roman"/>
                <w:sz w:val="14"/>
                <w:szCs w:val="14"/>
                <w:color w:val="0000FF"/>
              </w:rPr>
            </w:pPr>
            <w:hyperlink r:id="rId89">
              <w:r>
                <w:rPr>
                  <w:rFonts w:ascii="Times New Roman" w:cs="Times New Roman" w:eastAsia="Times New Roman" w:hAnsi="Times New Roman"/>
                  <w:sz w:val="14"/>
                  <w:szCs w:val="14"/>
                  <w:color w:val="0000FF"/>
                </w:rPr>
                <w:t>SP Management Services, Inc. Nonqualified Deferred Compensation Plan (incorporated herein by reference to Exhibit 10.4 to the Company's Current Report on Form 8-K filed</w:t>
              </w:r>
            </w:hyperlink>
          </w:p>
        </w:tc>
        <w:tc>
          <w:tcPr>
            <w:tcW w:w="0" w:type="dxa"/>
            <w:vAlign w:val="bottom"/>
          </w:tcPr>
          <w:p>
            <w:pPr>
              <w:spacing w:after="0"/>
              <w:rPr>
                <w:sz w:val="1"/>
                <w:szCs w:val="1"/>
                <w:color w:val="auto"/>
              </w:rPr>
            </w:pPr>
          </w:p>
        </w:tc>
      </w:tr>
      <w:tr>
        <w:trPr>
          <w:trHeight w:val="122"/>
        </w:trPr>
        <w:tc>
          <w:tcPr>
            <w:tcW w:w="1260" w:type="dxa"/>
            <w:vAlign w:val="bottom"/>
          </w:tcPr>
          <w:p>
            <w:pPr>
              <w:spacing w:after="0"/>
              <w:rPr>
                <w:sz w:val="10"/>
                <w:szCs w:val="10"/>
                <w:color w:val="auto"/>
              </w:rPr>
            </w:pPr>
          </w:p>
        </w:tc>
        <w:tc>
          <w:tcPr>
            <w:tcW w:w="920" w:type="dxa"/>
            <w:vAlign w:val="bottom"/>
            <w:tcBorders>
              <w:top w:val="single" w:sz="8" w:color="0000FF"/>
              <w:bottom w:val="single" w:sz="8" w:color="0000FF"/>
            </w:tcBorders>
            <w:gridSpan w:val="3"/>
          </w:tcPr>
          <w:p>
            <w:pPr>
              <w:spacing w:after="0" w:line="122" w:lineRule="exact"/>
              <w:rPr>
                <w:rFonts w:ascii="Times New Roman" w:cs="Times New Roman" w:eastAsia="Times New Roman" w:hAnsi="Times New Roman"/>
                <w:sz w:val="14"/>
                <w:szCs w:val="14"/>
                <w:color w:val="0000FF"/>
                <w:w w:val="95"/>
              </w:rPr>
            </w:pPr>
            <w:hyperlink r:id="rId89">
              <w:r>
                <w:rPr>
                  <w:rFonts w:ascii="Times New Roman" w:cs="Times New Roman" w:eastAsia="Times New Roman" w:hAnsi="Times New Roman"/>
                  <w:sz w:val="14"/>
                  <w:szCs w:val="14"/>
                  <w:color w:val="0000FF"/>
                  <w:w w:val="95"/>
                </w:rPr>
                <w:t>August 6, 2024).</w:t>
              </w:r>
            </w:hyperlink>
          </w:p>
        </w:tc>
        <w:tc>
          <w:tcPr>
            <w:tcW w:w="8760" w:type="dxa"/>
            <w:vAlign w:val="bottom"/>
            <w:tcBorders>
              <w:top w:val="single" w:sz="8" w:color="0000FF"/>
            </w:tcBorders>
            <w:gridSpan w:val="26"/>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1260" w:type="dxa"/>
            <w:vAlign w:val="bottom"/>
          </w:tcPr>
          <w:p>
            <w:pPr>
              <w:spacing w:after="0"/>
              <w:rPr>
                <w:sz w:val="20"/>
                <w:szCs w:val="20"/>
                <w:color w:val="auto"/>
              </w:rPr>
            </w:pPr>
            <w:r>
              <w:rPr>
                <w:rFonts w:ascii="Times New Roman" w:cs="Times New Roman" w:eastAsia="Times New Roman" w:hAnsi="Times New Roman"/>
                <w:sz w:val="14"/>
                <w:szCs w:val="14"/>
                <w:color w:val="auto"/>
              </w:rPr>
              <w:t>10.22 (a)</w:t>
            </w:r>
          </w:p>
        </w:tc>
        <w:tc>
          <w:tcPr>
            <w:tcW w:w="10000" w:type="dxa"/>
            <w:vAlign w:val="bottom"/>
            <w:gridSpan w:val="41"/>
          </w:tcPr>
          <w:p>
            <w:pPr>
              <w:spacing w:after="0"/>
              <w:rPr>
                <w:rFonts w:ascii="Times New Roman" w:cs="Times New Roman" w:eastAsia="Times New Roman" w:hAnsi="Times New Roman"/>
                <w:sz w:val="14"/>
                <w:szCs w:val="14"/>
                <w:color w:val="0000FF"/>
              </w:rPr>
            </w:pPr>
            <w:hyperlink r:id="rId90">
              <w:r>
                <w:rPr>
                  <w:rFonts w:ascii="Times New Roman" w:cs="Times New Roman" w:eastAsia="Times New Roman" w:hAnsi="Times New Roman"/>
                  <w:sz w:val="14"/>
                  <w:szCs w:val="14"/>
                  <w:color w:val="0000FF"/>
                </w:rPr>
                <w:t>Amended and Restated Employment Agreement, dated March 11, 2022, by and between Surgery Partners, Inc. and Jennifer Baldock (incorporated herein by reference to Exhibit</w:t>
              </w:r>
            </w:hyperlink>
          </w:p>
        </w:tc>
        <w:tc>
          <w:tcPr>
            <w:tcW w:w="0" w:type="dxa"/>
            <w:vAlign w:val="bottom"/>
          </w:tcPr>
          <w:p>
            <w:pPr>
              <w:spacing w:after="0"/>
              <w:rPr>
                <w:sz w:val="1"/>
                <w:szCs w:val="1"/>
                <w:color w:val="auto"/>
              </w:rPr>
            </w:pPr>
          </w:p>
        </w:tc>
      </w:tr>
      <w:tr>
        <w:trPr>
          <w:trHeight w:val="122"/>
        </w:trPr>
        <w:tc>
          <w:tcPr>
            <w:tcW w:w="1260" w:type="dxa"/>
            <w:vAlign w:val="bottom"/>
          </w:tcPr>
          <w:p>
            <w:pPr>
              <w:spacing w:after="0"/>
              <w:rPr>
                <w:sz w:val="10"/>
                <w:szCs w:val="10"/>
                <w:color w:val="auto"/>
              </w:rPr>
            </w:pPr>
          </w:p>
        </w:tc>
        <w:tc>
          <w:tcPr>
            <w:tcW w:w="9740" w:type="dxa"/>
            <w:vAlign w:val="bottom"/>
            <w:tcBorders>
              <w:top w:val="single" w:sz="8" w:color="0000FF"/>
            </w:tcBorders>
            <w:gridSpan w:val="32"/>
          </w:tcPr>
          <w:p>
            <w:pPr>
              <w:spacing w:after="0" w:line="122" w:lineRule="exact"/>
              <w:rPr>
                <w:rFonts w:ascii="Times New Roman" w:cs="Times New Roman" w:eastAsia="Times New Roman" w:hAnsi="Times New Roman"/>
                <w:sz w:val="14"/>
                <w:szCs w:val="14"/>
                <w:color w:val="0000FF"/>
              </w:rPr>
            </w:pPr>
            <w:hyperlink r:id="rId90">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1</w:t>
              </w:r>
              <w:r>
                <w:rPr>
                  <w:rFonts w:ascii="Times New Roman" w:cs="Times New Roman" w:eastAsia="Times New Roman" w:hAnsi="Times New Roman"/>
                  <w:sz w:val="14"/>
                  <w:szCs w:val="14"/>
                  <w:color w:val="0000FF"/>
                </w:rPr>
                <w:t xml:space="preserve"> to the Company’s Quarterly Report on Form 10-Q filed May 3, 2022).</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260" w:type="dxa"/>
            <w:vAlign w:val="bottom"/>
          </w:tcPr>
          <w:p>
            <w:pPr>
              <w:spacing w:after="0"/>
              <w:rPr>
                <w:sz w:val="20"/>
                <w:szCs w:val="20"/>
                <w:color w:val="auto"/>
              </w:rPr>
            </w:pPr>
            <w:r>
              <w:rPr>
                <w:rFonts w:ascii="Times New Roman" w:cs="Times New Roman" w:eastAsia="Times New Roman" w:hAnsi="Times New Roman"/>
                <w:sz w:val="14"/>
                <w:szCs w:val="14"/>
                <w:color w:val="auto"/>
              </w:rPr>
              <w:t>10.23 (a)</w:t>
            </w:r>
          </w:p>
        </w:tc>
        <w:tc>
          <w:tcPr>
            <w:tcW w:w="10000" w:type="dxa"/>
            <w:vAlign w:val="bottom"/>
            <w:gridSpan w:val="41"/>
          </w:tcPr>
          <w:p>
            <w:pPr>
              <w:spacing w:after="0"/>
              <w:rPr>
                <w:rFonts w:ascii="Times New Roman" w:cs="Times New Roman" w:eastAsia="Times New Roman" w:hAnsi="Times New Roman"/>
                <w:sz w:val="14"/>
                <w:szCs w:val="14"/>
                <w:color w:val="0000FF"/>
                <w:w w:val="98"/>
              </w:rPr>
            </w:pPr>
            <w:hyperlink r:id="rId91">
              <w:r>
                <w:rPr>
                  <w:rFonts w:ascii="Times New Roman" w:cs="Times New Roman" w:eastAsia="Times New Roman" w:hAnsi="Times New Roman"/>
                  <w:sz w:val="14"/>
                  <w:szCs w:val="14"/>
                  <w:color w:val="0000FF"/>
                  <w:w w:val="98"/>
                </w:rPr>
                <w:t>Employment Agreement, dated February 11, 2019, by and between Surgery Partners, Inc., Surgery Partners, LLC and J. Eric Evans (incorporated herein by reference to Exhibit 10.1</w:t>
              </w:r>
            </w:hyperlink>
          </w:p>
        </w:tc>
        <w:tc>
          <w:tcPr>
            <w:tcW w:w="0" w:type="dxa"/>
            <w:vAlign w:val="bottom"/>
          </w:tcPr>
          <w:p>
            <w:pPr>
              <w:spacing w:after="0"/>
              <w:rPr>
                <w:sz w:val="1"/>
                <w:szCs w:val="1"/>
                <w:color w:val="auto"/>
              </w:rPr>
            </w:pPr>
          </w:p>
        </w:tc>
      </w:tr>
      <w:tr>
        <w:trPr>
          <w:trHeight w:val="122"/>
        </w:trPr>
        <w:tc>
          <w:tcPr>
            <w:tcW w:w="1260" w:type="dxa"/>
            <w:vAlign w:val="bottom"/>
          </w:tcPr>
          <w:p>
            <w:pPr>
              <w:spacing w:after="0"/>
              <w:rPr>
                <w:sz w:val="10"/>
                <w:szCs w:val="10"/>
                <w:color w:val="auto"/>
              </w:rPr>
            </w:pPr>
          </w:p>
        </w:tc>
        <w:tc>
          <w:tcPr>
            <w:tcW w:w="9960" w:type="dxa"/>
            <w:vAlign w:val="bottom"/>
            <w:tcBorders>
              <w:top w:val="single" w:sz="8" w:color="0000FF"/>
            </w:tcBorders>
            <w:gridSpan w:val="39"/>
          </w:tcPr>
          <w:p>
            <w:pPr>
              <w:spacing w:after="0" w:line="122" w:lineRule="exact"/>
              <w:rPr>
                <w:rFonts w:ascii="Times New Roman" w:cs="Times New Roman" w:eastAsia="Times New Roman" w:hAnsi="Times New Roman"/>
                <w:sz w:val="14"/>
                <w:szCs w:val="14"/>
                <w:color w:val="0000FF"/>
              </w:rPr>
            </w:pPr>
            <w:hyperlink r:id="rId91">
              <w:r>
                <w:rPr>
                  <w:rFonts w:ascii="Times New Roman" w:cs="Times New Roman" w:eastAsia="Times New Roman" w:hAnsi="Times New Roman"/>
                  <w:sz w:val="14"/>
                  <w:szCs w:val="14"/>
                  <w:color w:val="0000FF"/>
                </w:rPr>
                <w:t>to the Company’s Current Report on Form 8-K filed February 12, 2019).</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260" w:type="dxa"/>
            <w:vAlign w:val="bottom"/>
          </w:tcPr>
          <w:p>
            <w:pPr>
              <w:spacing w:after="0"/>
              <w:rPr>
                <w:sz w:val="20"/>
                <w:szCs w:val="20"/>
                <w:color w:val="auto"/>
              </w:rPr>
            </w:pPr>
            <w:r>
              <w:rPr>
                <w:rFonts w:ascii="Times New Roman" w:cs="Times New Roman" w:eastAsia="Times New Roman" w:hAnsi="Times New Roman"/>
                <w:sz w:val="14"/>
                <w:szCs w:val="14"/>
                <w:color w:val="auto"/>
              </w:rPr>
              <w:t>10.24 (a)</w:t>
            </w:r>
          </w:p>
        </w:tc>
        <w:tc>
          <w:tcPr>
            <w:tcW w:w="10000" w:type="dxa"/>
            <w:vAlign w:val="bottom"/>
            <w:gridSpan w:val="41"/>
          </w:tcPr>
          <w:p>
            <w:pPr>
              <w:spacing w:after="0"/>
              <w:rPr>
                <w:rFonts w:ascii="Times New Roman" w:cs="Times New Roman" w:eastAsia="Times New Roman" w:hAnsi="Times New Roman"/>
                <w:sz w:val="14"/>
                <w:szCs w:val="14"/>
                <w:color w:val="0000FF"/>
              </w:rPr>
            </w:pPr>
            <w:hyperlink r:id="rId92">
              <w:r>
                <w:rPr>
                  <w:rFonts w:ascii="Times New Roman" w:cs="Times New Roman" w:eastAsia="Times New Roman" w:hAnsi="Times New Roman"/>
                  <w:sz w:val="14"/>
                  <w:szCs w:val="14"/>
                  <w:color w:val="0000FF"/>
                </w:rPr>
                <w:t>Amendment No. 1 to Employment Agreement by and between Surgery Partners, Inc., Surgery Partners, LLC and J. Eric Evans, dated January 13, 2020 (incorporated herein by</w:t>
              </w:r>
            </w:hyperlink>
          </w:p>
        </w:tc>
        <w:tc>
          <w:tcPr>
            <w:tcW w:w="0" w:type="dxa"/>
            <w:vAlign w:val="bottom"/>
          </w:tcPr>
          <w:p>
            <w:pPr>
              <w:spacing w:after="0"/>
              <w:rPr>
                <w:sz w:val="1"/>
                <w:szCs w:val="1"/>
                <w:color w:val="auto"/>
              </w:rPr>
            </w:pPr>
          </w:p>
        </w:tc>
      </w:tr>
      <w:tr>
        <w:trPr>
          <w:trHeight w:val="122"/>
        </w:trPr>
        <w:tc>
          <w:tcPr>
            <w:tcW w:w="1260" w:type="dxa"/>
            <w:vAlign w:val="bottom"/>
          </w:tcPr>
          <w:p>
            <w:pPr>
              <w:spacing w:after="0"/>
              <w:rPr>
                <w:sz w:val="10"/>
                <w:szCs w:val="10"/>
                <w:color w:val="auto"/>
              </w:rPr>
            </w:pPr>
          </w:p>
        </w:tc>
        <w:tc>
          <w:tcPr>
            <w:tcW w:w="9640" w:type="dxa"/>
            <w:vAlign w:val="bottom"/>
            <w:tcBorders>
              <w:top w:val="single" w:sz="8" w:color="0000FF"/>
            </w:tcBorders>
            <w:gridSpan w:val="27"/>
          </w:tcPr>
          <w:p>
            <w:pPr>
              <w:spacing w:after="0" w:line="122" w:lineRule="exact"/>
              <w:rPr>
                <w:rFonts w:ascii="Times New Roman" w:cs="Times New Roman" w:eastAsia="Times New Roman" w:hAnsi="Times New Roman"/>
                <w:sz w:val="14"/>
                <w:szCs w:val="14"/>
                <w:color w:val="0000FF"/>
              </w:rPr>
            </w:pPr>
            <w:hyperlink r:id="rId92">
              <w:r>
                <w:rPr>
                  <w:rFonts w:ascii="Times New Roman" w:cs="Times New Roman" w:eastAsia="Times New Roman" w:hAnsi="Times New Roman"/>
                  <w:sz w:val="14"/>
                  <w:szCs w:val="14"/>
                  <w:color w:val="0000FF"/>
                </w:rPr>
                <w:t>reference to Exhibit 10.2 to the Company’s Current Report on Form 8-K filed on January 13, 2020).</w:t>
              </w:r>
            </w:hyperlink>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260" w:type="dxa"/>
            <w:vAlign w:val="bottom"/>
          </w:tcPr>
          <w:p>
            <w:pPr>
              <w:spacing w:after="0"/>
              <w:rPr>
                <w:sz w:val="20"/>
                <w:szCs w:val="20"/>
                <w:color w:val="auto"/>
              </w:rPr>
            </w:pPr>
            <w:r>
              <w:rPr>
                <w:rFonts w:ascii="Times New Roman" w:cs="Times New Roman" w:eastAsia="Times New Roman" w:hAnsi="Times New Roman"/>
                <w:sz w:val="14"/>
                <w:szCs w:val="14"/>
                <w:color w:val="auto"/>
              </w:rPr>
              <w:t>10.25 (a)</w:t>
            </w:r>
          </w:p>
        </w:tc>
        <w:tc>
          <w:tcPr>
            <w:tcW w:w="10000" w:type="dxa"/>
            <w:vAlign w:val="bottom"/>
            <w:gridSpan w:val="41"/>
          </w:tcPr>
          <w:p>
            <w:pPr>
              <w:spacing w:after="0"/>
              <w:rPr>
                <w:rFonts w:ascii="Times New Roman" w:cs="Times New Roman" w:eastAsia="Times New Roman" w:hAnsi="Times New Roman"/>
                <w:sz w:val="14"/>
                <w:szCs w:val="14"/>
                <w:color w:val="0000FF"/>
              </w:rPr>
            </w:pPr>
            <w:hyperlink r:id="rId93">
              <w:r>
                <w:rPr>
                  <w:rFonts w:ascii="Times New Roman" w:cs="Times New Roman" w:eastAsia="Times New Roman" w:hAnsi="Times New Roman"/>
                  <w:sz w:val="14"/>
                  <w:szCs w:val="14"/>
                  <w:color w:val="0000FF"/>
                </w:rPr>
                <w:t>Employment Agreement, dated January 7, 2022, by and between Surgery Partners, Inc. and David T. Doherty (incorporated herein by reference to Exhibit 10.1 to the Company’s</w:t>
              </w:r>
            </w:hyperlink>
          </w:p>
        </w:tc>
        <w:tc>
          <w:tcPr>
            <w:tcW w:w="0" w:type="dxa"/>
            <w:vAlign w:val="bottom"/>
          </w:tcPr>
          <w:p>
            <w:pPr>
              <w:spacing w:after="0"/>
              <w:rPr>
                <w:sz w:val="1"/>
                <w:szCs w:val="1"/>
                <w:color w:val="auto"/>
              </w:rPr>
            </w:pPr>
          </w:p>
        </w:tc>
      </w:tr>
      <w:tr>
        <w:trPr>
          <w:trHeight w:val="122"/>
        </w:trPr>
        <w:tc>
          <w:tcPr>
            <w:tcW w:w="1260" w:type="dxa"/>
            <w:vAlign w:val="bottom"/>
          </w:tcPr>
          <w:p>
            <w:pPr>
              <w:spacing w:after="0"/>
              <w:rPr>
                <w:sz w:val="10"/>
                <w:szCs w:val="10"/>
                <w:color w:val="auto"/>
              </w:rPr>
            </w:pPr>
          </w:p>
        </w:tc>
        <w:tc>
          <w:tcPr>
            <w:tcW w:w="9760" w:type="dxa"/>
            <w:vAlign w:val="bottom"/>
            <w:tcBorders>
              <w:top w:val="single" w:sz="8" w:color="0000FF"/>
            </w:tcBorders>
            <w:gridSpan w:val="33"/>
          </w:tcPr>
          <w:p>
            <w:pPr>
              <w:spacing w:after="0" w:line="122" w:lineRule="exact"/>
              <w:rPr>
                <w:rFonts w:ascii="Times New Roman" w:cs="Times New Roman" w:eastAsia="Times New Roman" w:hAnsi="Times New Roman"/>
                <w:sz w:val="14"/>
                <w:szCs w:val="14"/>
                <w:color w:val="0000FF"/>
              </w:rPr>
            </w:pPr>
            <w:hyperlink r:id="rId93">
              <w:r>
                <w:rPr>
                  <w:rFonts w:ascii="Times New Roman" w:cs="Times New Roman" w:eastAsia="Times New Roman" w:hAnsi="Times New Roman"/>
                  <w:sz w:val="14"/>
                  <w:szCs w:val="14"/>
                  <w:color w:val="0000FF"/>
                </w:rPr>
                <w:t>Current Report on Form 8-K filed on January 10, 2022).</w:t>
              </w:r>
            </w:hyperlink>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260" w:type="dxa"/>
            <w:vAlign w:val="bottom"/>
          </w:tcPr>
          <w:p>
            <w:pPr>
              <w:spacing w:after="0"/>
              <w:rPr>
                <w:sz w:val="20"/>
                <w:szCs w:val="20"/>
                <w:color w:val="auto"/>
              </w:rPr>
            </w:pPr>
            <w:r>
              <w:rPr>
                <w:rFonts w:ascii="Times New Roman" w:cs="Times New Roman" w:eastAsia="Times New Roman" w:hAnsi="Times New Roman"/>
                <w:sz w:val="14"/>
                <w:szCs w:val="14"/>
                <w:color w:val="auto"/>
              </w:rPr>
              <w:t>10.26 (a)</w:t>
            </w:r>
          </w:p>
        </w:tc>
        <w:tc>
          <w:tcPr>
            <w:tcW w:w="10000" w:type="dxa"/>
            <w:vAlign w:val="bottom"/>
            <w:gridSpan w:val="41"/>
          </w:tcPr>
          <w:p>
            <w:pPr>
              <w:spacing w:after="0"/>
              <w:rPr>
                <w:rFonts w:ascii="Times New Roman" w:cs="Times New Roman" w:eastAsia="Times New Roman" w:hAnsi="Times New Roman"/>
                <w:sz w:val="14"/>
                <w:szCs w:val="14"/>
                <w:color w:val="0000FF"/>
              </w:rPr>
            </w:pPr>
            <w:hyperlink r:id="rId94">
              <w:r>
                <w:rPr>
                  <w:rFonts w:ascii="Times New Roman" w:cs="Times New Roman" w:eastAsia="Times New Roman" w:hAnsi="Times New Roman"/>
                  <w:sz w:val="14"/>
                  <w:szCs w:val="14"/>
                  <w:color w:val="0000FF"/>
                </w:rPr>
                <w:t>Employment Agreement, dated November 23, 2021, by and between Surgery Partners, Inc. and Marissa Brittenham (incorporated herein by reference to Exhibit 10.40 to the</w:t>
              </w:r>
            </w:hyperlink>
          </w:p>
        </w:tc>
        <w:tc>
          <w:tcPr>
            <w:tcW w:w="0" w:type="dxa"/>
            <w:vAlign w:val="bottom"/>
          </w:tcPr>
          <w:p>
            <w:pPr>
              <w:spacing w:after="0"/>
              <w:rPr>
                <w:sz w:val="1"/>
                <w:szCs w:val="1"/>
                <w:color w:val="auto"/>
              </w:rPr>
            </w:pPr>
          </w:p>
        </w:tc>
      </w:tr>
      <w:tr>
        <w:trPr>
          <w:trHeight w:val="122"/>
        </w:trPr>
        <w:tc>
          <w:tcPr>
            <w:tcW w:w="1260" w:type="dxa"/>
            <w:vAlign w:val="bottom"/>
          </w:tcPr>
          <w:p>
            <w:pPr>
              <w:spacing w:after="0"/>
              <w:rPr>
                <w:sz w:val="10"/>
                <w:szCs w:val="10"/>
                <w:color w:val="auto"/>
              </w:rPr>
            </w:pPr>
          </w:p>
        </w:tc>
        <w:tc>
          <w:tcPr>
            <w:tcW w:w="9500" w:type="dxa"/>
            <w:vAlign w:val="bottom"/>
            <w:tcBorders>
              <w:top w:val="single" w:sz="8" w:color="0000FF"/>
            </w:tcBorders>
            <w:gridSpan w:val="25"/>
          </w:tcPr>
          <w:p>
            <w:pPr>
              <w:spacing w:after="0" w:line="122" w:lineRule="exact"/>
              <w:rPr>
                <w:rFonts w:ascii="Times New Roman" w:cs="Times New Roman" w:eastAsia="Times New Roman" w:hAnsi="Times New Roman"/>
                <w:sz w:val="14"/>
                <w:szCs w:val="14"/>
                <w:color w:val="0000FF"/>
              </w:rPr>
            </w:pPr>
            <w:hyperlink r:id="rId94">
              <w:r>
                <w:rPr>
                  <w:rFonts w:ascii="Times New Roman" w:cs="Times New Roman" w:eastAsia="Times New Roman" w:hAnsi="Times New Roman"/>
                  <w:sz w:val="14"/>
                  <w:szCs w:val="14"/>
                  <w:color w:val="0000FF"/>
                </w:rPr>
                <w:t>Company’s Annual Report on Form 10-K filed on March 1, 2022).</w:t>
              </w:r>
            </w:hyperlink>
          </w:p>
        </w:tc>
        <w:tc>
          <w:tcPr>
            <w:tcW w:w="20" w:type="dxa"/>
            <w:vAlign w:val="bottom"/>
          </w:tcPr>
          <w:p>
            <w:pPr>
              <w:spacing w:after="0"/>
              <w:rPr>
                <w:sz w:val="10"/>
                <w:szCs w:val="10"/>
                <w:color w:val="auto"/>
              </w:rPr>
            </w:pPr>
          </w:p>
        </w:tc>
        <w:tc>
          <w:tcPr>
            <w:tcW w:w="1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80" w:type="dxa"/>
            <w:vAlign w:val="bottom"/>
            <w:gridSpan w:val="4"/>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260" w:type="dxa"/>
            <w:vAlign w:val="bottom"/>
          </w:tcPr>
          <w:p>
            <w:pPr>
              <w:spacing w:after="0"/>
              <w:rPr>
                <w:sz w:val="20"/>
                <w:szCs w:val="20"/>
                <w:color w:val="auto"/>
              </w:rPr>
            </w:pPr>
            <w:r>
              <w:rPr>
                <w:rFonts w:ascii="Times New Roman" w:cs="Times New Roman" w:eastAsia="Times New Roman" w:hAnsi="Times New Roman"/>
                <w:sz w:val="14"/>
                <w:szCs w:val="14"/>
                <w:color w:val="auto"/>
              </w:rPr>
              <w:t>10.27 (a)</w:t>
            </w:r>
          </w:p>
        </w:tc>
        <w:tc>
          <w:tcPr>
            <w:tcW w:w="10000" w:type="dxa"/>
            <w:vAlign w:val="bottom"/>
            <w:gridSpan w:val="41"/>
          </w:tcPr>
          <w:p>
            <w:pPr>
              <w:spacing w:after="0"/>
              <w:rPr>
                <w:rFonts w:ascii="Times New Roman" w:cs="Times New Roman" w:eastAsia="Times New Roman" w:hAnsi="Times New Roman"/>
                <w:sz w:val="14"/>
                <w:szCs w:val="14"/>
                <w:color w:val="0000FF"/>
                <w:w w:val="98"/>
              </w:rPr>
            </w:pPr>
            <w:hyperlink r:id="rId95">
              <w:r>
                <w:rPr>
                  <w:rFonts w:ascii="Times New Roman" w:cs="Times New Roman" w:eastAsia="Times New Roman" w:hAnsi="Times New Roman"/>
                  <w:sz w:val="14"/>
                  <w:szCs w:val="14"/>
                  <w:color w:val="0000FF"/>
                  <w:w w:val="98"/>
                </w:rPr>
                <w:t>Employment Agreement, dated July 25, 2022, by and between Surgery Partners, Inc. and Harrison Bane (incorporated herein by reference to Exhibit 10.41 to the Company's Annual</w:t>
              </w:r>
            </w:hyperlink>
          </w:p>
        </w:tc>
        <w:tc>
          <w:tcPr>
            <w:tcW w:w="0" w:type="dxa"/>
            <w:vAlign w:val="bottom"/>
          </w:tcPr>
          <w:p>
            <w:pPr>
              <w:spacing w:after="0"/>
              <w:rPr>
                <w:sz w:val="1"/>
                <w:szCs w:val="1"/>
                <w:color w:val="auto"/>
              </w:rPr>
            </w:pPr>
          </w:p>
        </w:tc>
      </w:tr>
      <w:tr>
        <w:trPr>
          <w:trHeight w:val="122"/>
        </w:trPr>
        <w:tc>
          <w:tcPr>
            <w:tcW w:w="1260" w:type="dxa"/>
            <w:vAlign w:val="bottom"/>
          </w:tcPr>
          <w:p>
            <w:pPr>
              <w:spacing w:after="0"/>
              <w:rPr>
                <w:sz w:val="10"/>
                <w:szCs w:val="10"/>
                <w:color w:val="auto"/>
              </w:rPr>
            </w:pPr>
          </w:p>
        </w:tc>
        <w:tc>
          <w:tcPr>
            <w:tcW w:w="9940" w:type="dxa"/>
            <w:vAlign w:val="bottom"/>
            <w:tcBorders>
              <w:top w:val="single" w:sz="8" w:color="0000FF"/>
            </w:tcBorders>
            <w:gridSpan w:val="38"/>
          </w:tcPr>
          <w:p>
            <w:pPr>
              <w:spacing w:after="0" w:line="122" w:lineRule="exact"/>
              <w:rPr>
                <w:rFonts w:ascii="Times New Roman" w:cs="Times New Roman" w:eastAsia="Times New Roman" w:hAnsi="Times New Roman"/>
                <w:sz w:val="14"/>
                <w:szCs w:val="14"/>
                <w:color w:val="0000FF"/>
              </w:rPr>
            </w:pPr>
            <w:hyperlink r:id="rId95">
              <w:r>
                <w:rPr>
                  <w:rFonts w:ascii="Times New Roman" w:cs="Times New Roman" w:eastAsia="Times New Roman" w:hAnsi="Times New Roman"/>
                  <w:sz w:val="14"/>
                  <w:szCs w:val="14"/>
                  <w:color w:val="0000FF"/>
                </w:rPr>
                <w:t>Report on Form 10-K filed on March 1, 2023).</w:t>
              </w:r>
            </w:hyperlink>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260" w:type="dxa"/>
            <w:vAlign w:val="bottom"/>
          </w:tcPr>
          <w:p>
            <w:pPr>
              <w:spacing w:after="0"/>
              <w:rPr>
                <w:sz w:val="20"/>
                <w:szCs w:val="20"/>
                <w:color w:val="auto"/>
              </w:rPr>
            </w:pPr>
            <w:r>
              <w:rPr>
                <w:rFonts w:ascii="Times New Roman" w:cs="Times New Roman" w:eastAsia="Times New Roman" w:hAnsi="Times New Roman"/>
                <w:sz w:val="14"/>
                <w:szCs w:val="14"/>
                <w:color w:val="auto"/>
              </w:rPr>
              <w:t>10.28 (a)</w:t>
            </w:r>
          </w:p>
        </w:tc>
        <w:tc>
          <w:tcPr>
            <w:tcW w:w="10000" w:type="dxa"/>
            <w:vAlign w:val="bottom"/>
            <w:gridSpan w:val="41"/>
          </w:tcPr>
          <w:p>
            <w:pPr>
              <w:spacing w:after="0"/>
              <w:rPr>
                <w:rFonts w:ascii="Times New Roman" w:cs="Times New Roman" w:eastAsia="Times New Roman" w:hAnsi="Times New Roman"/>
                <w:sz w:val="14"/>
                <w:szCs w:val="14"/>
                <w:color w:val="0000FF"/>
                <w:w w:val="98"/>
              </w:rPr>
            </w:pPr>
            <w:hyperlink r:id="rId96">
              <w:r>
                <w:rPr>
                  <w:rFonts w:ascii="Times New Roman" w:cs="Times New Roman" w:eastAsia="Times New Roman" w:hAnsi="Times New Roman"/>
                  <w:sz w:val="14"/>
                  <w:szCs w:val="14"/>
                  <w:color w:val="0000FF"/>
                  <w:w w:val="98"/>
                </w:rPr>
                <w:t>Employment Agreement, dated October 27, 2025, by and between Surgery Partners, Inc. and Justin Oppenheimer (incorporated herein by reference to Exhibit 10.1 to the Company's</w:t>
              </w:r>
            </w:hyperlink>
          </w:p>
        </w:tc>
        <w:tc>
          <w:tcPr>
            <w:tcW w:w="0" w:type="dxa"/>
            <w:vAlign w:val="bottom"/>
          </w:tcPr>
          <w:p>
            <w:pPr>
              <w:spacing w:after="0"/>
              <w:rPr>
                <w:sz w:val="1"/>
                <w:szCs w:val="1"/>
                <w:color w:val="auto"/>
              </w:rPr>
            </w:pPr>
          </w:p>
        </w:tc>
      </w:tr>
      <w:tr>
        <w:trPr>
          <w:trHeight w:val="122"/>
        </w:trPr>
        <w:tc>
          <w:tcPr>
            <w:tcW w:w="1260" w:type="dxa"/>
            <w:vAlign w:val="bottom"/>
          </w:tcPr>
          <w:p>
            <w:pPr>
              <w:spacing w:after="0"/>
              <w:rPr>
                <w:sz w:val="10"/>
                <w:szCs w:val="10"/>
                <w:color w:val="auto"/>
              </w:rPr>
            </w:pPr>
          </w:p>
        </w:tc>
        <w:tc>
          <w:tcPr>
            <w:tcW w:w="3240" w:type="dxa"/>
            <w:vAlign w:val="bottom"/>
            <w:tcBorders>
              <w:top w:val="single" w:sz="8" w:color="0000FF"/>
              <w:bottom w:val="single" w:sz="8" w:color="0000FF"/>
            </w:tcBorders>
            <w:gridSpan w:val="9"/>
          </w:tcPr>
          <w:p>
            <w:pPr>
              <w:spacing w:after="0" w:line="122" w:lineRule="exact"/>
              <w:rPr>
                <w:rFonts w:ascii="Times New Roman" w:cs="Times New Roman" w:eastAsia="Times New Roman" w:hAnsi="Times New Roman"/>
                <w:sz w:val="14"/>
                <w:szCs w:val="14"/>
                <w:color w:val="0000FF"/>
                <w:w w:val="97"/>
              </w:rPr>
            </w:pPr>
            <w:hyperlink r:id="rId96">
              <w:r>
                <w:rPr>
                  <w:rFonts w:ascii="Times New Roman" w:cs="Times New Roman" w:eastAsia="Times New Roman" w:hAnsi="Times New Roman"/>
                  <w:sz w:val="14"/>
                  <w:szCs w:val="14"/>
                  <w:color w:val="0000FF"/>
                  <w:w w:val="97"/>
                </w:rPr>
                <w:t>Current Report on Form 8-K filed on November 12, 2025).</w:t>
              </w:r>
            </w:hyperlink>
          </w:p>
        </w:tc>
        <w:tc>
          <w:tcPr>
            <w:tcW w:w="6740" w:type="dxa"/>
            <w:vAlign w:val="bottom"/>
            <w:tcBorders>
              <w:top w:val="single" w:sz="8" w:color="0000FF"/>
            </w:tcBorders>
            <w:gridSpan w:val="31"/>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1260" w:type="dxa"/>
            <w:vAlign w:val="bottom"/>
          </w:tcPr>
          <w:p>
            <w:pPr>
              <w:spacing w:after="0"/>
              <w:rPr>
                <w:sz w:val="20"/>
                <w:szCs w:val="20"/>
                <w:color w:val="auto"/>
              </w:rPr>
            </w:pPr>
            <w:r>
              <w:rPr>
                <w:rFonts w:ascii="Times New Roman" w:cs="Times New Roman" w:eastAsia="Times New Roman" w:hAnsi="Times New Roman"/>
                <w:sz w:val="14"/>
                <w:szCs w:val="14"/>
                <w:color w:val="auto"/>
              </w:rPr>
              <w:t>10.29</w:t>
            </w:r>
          </w:p>
        </w:tc>
        <w:tc>
          <w:tcPr>
            <w:tcW w:w="10000" w:type="dxa"/>
            <w:vAlign w:val="bottom"/>
            <w:gridSpan w:val="41"/>
          </w:tcPr>
          <w:p>
            <w:pPr>
              <w:spacing w:after="0"/>
              <w:rPr>
                <w:rFonts w:ascii="Times New Roman" w:cs="Times New Roman" w:eastAsia="Times New Roman" w:hAnsi="Times New Roman"/>
                <w:sz w:val="14"/>
                <w:szCs w:val="14"/>
                <w:color w:val="0000FF"/>
              </w:rPr>
            </w:pPr>
            <w:hyperlink r:id="rId97">
              <w:r>
                <w:rPr>
                  <w:rFonts w:ascii="Times New Roman" w:cs="Times New Roman" w:eastAsia="Times New Roman" w:hAnsi="Times New Roman"/>
                  <w:sz w:val="14"/>
                  <w:szCs w:val="14"/>
                  <w:color w:val="0000FF"/>
                </w:rPr>
                <w:t>Credit Agreement, dated as of December 19, 2023, by and among SP Holdco I, Inc., Surgery Center Holdings, Inc., Jefferies Finance LLC and the other lenders party thereto</w:t>
              </w:r>
            </w:hyperlink>
          </w:p>
        </w:tc>
        <w:tc>
          <w:tcPr>
            <w:tcW w:w="0" w:type="dxa"/>
            <w:vAlign w:val="bottom"/>
          </w:tcPr>
          <w:p>
            <w:pPr>
              <w:spacing w:after="0"/>
              <w:rPr>
                <w:sz w:val="1"/>
                <w:szCs w:val="1"/>
                <w:color w:val="auto"/>
              </w:rPr>
            </w:pPr>
          </w:p>
        </w:tc>
      </w:tr>
      <w:tr>
        <w:trPr>
          <w:trHeight w:val="122"/>
        </w:trPr>
        <w:tc>
          <w:tcPr>
            <w:tcW w:w="1260" w:type="dxa"/>
            <w:vAlign w:val="bottom"/>
          </w:tcPr>
          <w:p>
            <w:pPr>
              <w:spacing w:after="0"/>
              <w:rPr>
                <w:sz w:val="10"/>
                <w:szCs w:val="10"/>
                <w:color w:val="auto"/>
              </w:rPr>
            </w:pPr>
          </w:p>
        </w:tc>
        <w:tc>
          <w:tcPr>
            <w:tcW w:w="6920" w:type="dxa"/>
            <w:vAlign w:val="bottom"/>
            <w:tcBorders>
              <w:top w:val="single" w:sz="8" w:color="0000FF"/>
              <w:bottom w:val="single" w:sz="8" w:color="0000FF"/>
            </w:tcBorders>
            <w:gridSpan w:val="17"/>
          </w:tcPr>
          <w:p>
            <w:pPr>
              <w:spacing w:after="0" w:line="122" w:lineRule="exact"/>
              <w:rPr>
                <w:rFonts w:ascii="Times New Roman" w:cs="Times New Roman" w:eastAsia="Times New Roman" w:hAnsi="Times New Roman"/>
                <w:sz w:val="14"/>
                <w:szCs w:val="14"/>
                <w:color w:val="0000FF"/>
                <w:w w:val="97"/>
              </w:rPr>
            </w:pPr>
            <w:hyperlink r:id="rId97">
              <w:r>
                <w:rPr>
                  <w:rFonts w:ascii="Times New Roman" w:cs="Times New Roman" w:eastAsia="Times New Roman" w:hAnsi="Times New Roman"/>
                  <w:sz w:val="14"/>
                  <w:szCs w:val="14"/>
                  <w:color w:val="0000FF"/>
                  <w:w w:val="97"/>
                </w:rPr>
                <w:t>(incorporated herein by reference to Exhibit 10.1 to the Company’s Current Report on Form 8-K filed on December 20,2023).</w:t>
              </w:r>
            </w:hyperlink>
          </w:p>
        </w:tc>
        <w:tc>
          <w:tcPr>
            <w:tcW w:w="2600" w:type="dxa"/>
            <w:vAlign w:val="bottom"/>
            <w:tcBorders>
              <w:top w:val="single" w:sz="8" w:color="0000FF"/>
            </w:tcBorders>
            <w:gridSpan w:val="9"/>
          </w:tcPr>
          <w:p>
            <w:pPr>
              <w:spacing w:after="0"/>
              <w:rPr>
                <w:sz w:val="10"/>
                <w:szCs w:val="10"/>
                <w:color w:val="auto"/>
              </w:rPr>
            </w:pPr>
          </w:p>
        </w:tc>
        <w:tc>
          <w:tcPr>
            <w:tcW w:w="1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80" w:type="dxa"/>
            <w:vAlign w:val="bottom"/>
            <w:gridSpan w:val="4"/>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gridSpan w:val="5"/>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1260" w:type="dxa"/>
            <w:vAlign w:val="bottom"/>
          </w:tcPr>
          <w:p>
            <w:pPr>
              <w:spacing w:after="0"/>
              <w:rPr>
                <w:sz w:val="20"/>
                <w:szCs w:val="20"/>
                <w:color w:val="auto"/>
              </w:rPr>
            </w:pPr>
            <w:r>
              <w:rPr>
                <w:rFonts w:ascii="Times New Roman" w:cs="Times New Roman" w:eastAsia="Times New Roman" w:hAnsi="Times New Roman"/>
                <w:sz w:val="14"/>
                <w:szCs w:val="14"/>
                <w:color w:val="auto"/>
              </w:rPr>
              <w:t>10.30</w:t>
            </w:r>
          </w:p>
        </w:tc>
        <w:tc>
          <w:tcPr>
            <w:tcW w:w="10000" w:type="dxa"/>
            <w:vAlign w:val="bottom"/>
            <w:gridSpan w:val="41"/>
          </w:tcPr>
          <w:p>
            <w:pPr>
              <w:spacing w:after="0"/>
              <w:rPr>
                <w:rFonts w:ascii="Times New Roman" w:cs="Times New Roman" w:eastAsia="Times New Roman" w:hAnsi="Times New Roman"/>
                <w:sz w:val="14"/>
                <w:szCs w:val="14"/>
                <w:color w:val="0000FF"/>
                <w:w w:val="99"/>
              </w:rPr>
            </w:pPr>
            <w:hyperlink r:id="rId98">
              <w:r>
                <w:rPr>
                  <w:rFonts w:ascii="Times New Roman" w:cs="Times New Roman" w:eastAsia="Times New Roman" w:hAnsi="Times New Roman"/>
                  <w:sz w:val="14"/>
                  <w:szCs w:val="14"/>
                  <w:color w:val="0000FF"/>
                  <w:w w:val="99"/>
                </w:rPr>
                <w:t>First Amendment to the Credit Agreement, dated as of June 20, 2024, by and among SP Holdco I, Inc., Surgery Center Holdings, Inc., the Subsidiary Guarantors. Jefferies Finance</w:t>
              </w:r>
            </w:hyperlink>
          </w:p>
        </w:tc>
        <w:tc>
          <w:tcPr>
            <w:tcW w:w="0" w:type="dxa"/>
            <w:vAlign w:val="bottom"/>
          </w:tcPr>
          <w:p>
            <w:pPr>
              <w:spacing w:after="0"/>
              <w:rPr>
                <w:sz w:val="1"/>
                <w:szCs w:val="1"/>
                <w:color w:val="auto"/>
              </w:rPr>
            </w:pPr>
          </w:p>
        </w:tc>
      </w:tr>
      <w:tr>
        <w:trPr>
          <w:trHeight w:val="122"/>
        </w:trPr>
        <w:tc>
          <w:tcPr>
            <w:tcW w:w="1260" w:type="dxa"/>
            <w:vAlign w:val="bottom"/>
          </w:tcPr>
          <w:p>
            <w:pPr>
              <w:spacing w:after="0"/>
              <w:rPr>
                <w:sz w:val="10"/>
                <w:szCs w:val="10"/>
                <w:color w:val="auto"/>
              </w:rPr>
            </w:pPr>
          </w:p>
        </w:tc>
        <w:tc>
          <w:tcPr>
            <w:tcW w:w="8700" w:type="dxa"/>
            <w:vAlign w:val="bottom"/>
            <w:tcBorders>
              <w:top w:val="single" w:sz="8" w:color="0000FF"/>
              <w:bottom w:val="single" w:sz="8" w:color="0000FF"/>
            </w:tcBorders>
            <w:gridSpan w:val="19"/>
          </w:tcPr>
          <w:p>
            <w:pPr>
              <w:spacing w:after="0" w:line="122" w:lineRule="exact"/>
              <w:rPr>
                <w:rFonts w:ascii="Times New Roman" w:cs="Times New Roman" w:eastAsia="Times New Roman" w:hAnsi="Times New Roman"/>
                <w:sz w:val="14"/>
                <w:szCs w:val="14"/>
                <w:color w:val="0000FF"/>
                <w:w w:val="97"/>
              </w:rPr>
            </w:pPr>
            <w:hyperlink r:id="rId98">
              <w:r>
                <w:rPr>
                  <w:rFonts w:ascii="Times New Roman" w:cs="Times New Roman" w:eastAsia="Times New Roman" w:hAnsi="Times New Roman"/>
                  <w:sz w:val="14"/>
                  <w:szCs w:val="14"/>
                  <w:color w:val="0000FF"/>
                  <w:w w:val="97"/>
                </w:rPr>
                <w:t>LLC, and the other lenders party thereto (incorporated herein by reference to Exhibit 10.1 to the Company's Current Report on Form 8-K filed June 20, 2024).</w:t>
              </w:r>
            </w:hyperlink>
          </w:p>
        </w:tc>
        <w:tc>
          <w:tcPr>
            <w:tcW w:w="1140" w:type="dxa"/>
            <w:vAlign w:val="bottom"/>
            <w:tcBorders>
              <w:top w:val="single" w:sz="8" w:color="0000FF"/>
            </w:tcBorders>
            <w:gridSpan w:val="17"/>
          </w:tcPr>
          <w:p>
            <w:pPr>
              <w:spacing w:after="0"/>
              <w:rPr>
                <w:sz w:val="10"/>
                <w:szCs w:val="10"/>
                <w:color w:val="auto"/>
              </w:rPr>
            </w:pPr>
          </w:p>
        </w:tc>
        <w:tc>
          <w:tcPr>
            <w:tcW w:w="160" w:type="dxa"/>
            <w:vAlign w:val="bottom"/>
            <w:gridSpan w:val="5"/>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1260" w:type="dxa"/>
            <w:vAlign w:val="bottom"/>
          </w:tcPr>
          <w:p>
            <w:pPr>
              <w:spacing w:after="0"/>
              <w:rPr>
                <w:sz w:val="20"/>
                <w:szCs w:val="20"/>
                <w:color w:val="auto"/>
              </w:rPr>
            </w:pPr>
            <w:r>
              <w:rPr>
                <w:rFonts w:ascii="Times New Roman" w:cs="Times New Roman" w:eastAsia="Times New Roman" w:hAnsi="Times New Roman"/>
                <w:sz w:val="14"/>
                <w:szCs w:val="14"/>
                <w:color w:val="auto"/>
              </w:rPr>
              <w:t>10.31</w:t>
            </w:r>
          </w:p>
        </w:tc>
        <w:tc>
          <w:tcPr>
            <w:tcW w:w="10000" w:type="dxa"/>
            <w:vAlign w:val="bottom"/>
            <w:gridSpan w:val="41"/>
          </w:tcPr>
          <w:p>
            <w:pPr>
              <w:spacing w:after="0"/>
              <w:rPr>
                <w:rFonts w:ascii="Times New Roman" w:cs="Times New Roman" w:eastAsia="Times New Roman" w:hAnsi="Times New Roman"/>
                <w:sz w:val="14"/>
                <w:szCs w:val="14"/>
                <w:color w:val="0000FF"/>
              </w:rPr>
            </w:pPr>
            <w:hyperlink r:id="rId99">
              <w:r>
                <w:rPr>
                  <w:rFonts w:ascii="Times New Roman" w:cs="Times New Roman" w:eastAsia="Times New Roman" w:hAnsi="Times New Roman"/>
                  <w:sz w:val="14"/>
                  <w:szCs w:val="14"/>
                  <w:color w:val="0000FF"/>
                </w:rPr>
                <w:t>Second Amendment to the Credit Agreement, dated as of August 13, 2025, by and among SP Holdco I, Inc., Surgery Center Holdings, Inc., the Subsidiary Guarantors. Jefferies</w:t>
              </w:r>
            </w:hyperlink>
          </w:p>
        </w:tc>
        <w:tc>
          <w:tcPr>
            <w:tcW w:w="0" w:type="dxa"/>
            <w:vAlign w:val="bottom"/>
          </w:tcPr>
          <w:p>
            <w:pPr>
              <w:spacing w:after="0"/>
              <w:rPr>
                <w:sz w:val="1"/>
                <w:szCs w:val="1"/>
                <w:color w:val="auto"/>
              </w:rPr>
            </w:pPr>
          </w:p>
        </w:tc>
      </w:tr>
      <w:tr>
        <w:trPr>
          <w:trHeight w:val="122"/>
        </w:trPr>
        <w:tc>
          <w:tcPr>
            <w:tcW w:w="1260" w:type="dxa"/>
            <w:vAlign w:val="bottom"/>
          </w:tcPr>
          <w:p>
            <w:pPr>
              <w:spacing w:after="0"/>
              <w:rPr>
                <w:sz w:val="10"/>
                <w:szCs w:val="10"/>
                <w:color w:val="auto"/>
              </w:rPr>
            </w:pPr>
          </w:p>
        </w:tc>
        <w:tc>
          <w:tcPr>
            <w:tcW w:w="9660" w:type="dxa"/>
            <w:vAlign w:val="bottom"/>
            <w:tcBorders>
              <w:top w:val="single" w:sz="8" w:color="0000FF"/>
            </w:tcBorders>
            <w:gridSpan w:val="28"/>
          </w:tcPr>
          <w:p>
            <w:pPr>
              <w:spacing w:after="0" w:line="122" w:lineRule="exact"/>
              <w:rPr>
                <w:rFonts w:ascii="Times New Roman" w:cs="Times New Roman" w:eastAsia="Times New Roman" w:hAnsi="Times New Roman"/>
                <w:sz w:val="14"/>
                <w:szCs w:val="14"/>
                <w:color w:val="0000FF"/>
              </w:rPr>
            </w:pPr>
            <w:hyperlink r:id="rId99">
              <w:r>
                <w:rPr>
                  <w:rFonts w:ascii="Times New Roman" w:cs="Times New Roman" w:eastAsia="Times New Roman" w:hAnsi="Times New Roman"/>
                  <w:sz w:val="14"/>
                  <w:szCs w:val="14"/>
                  <w:color w:val="0000FF"/>
                </w:rPr>
                <w:t>Finance LLC, and the other lenders party thereto (incorporated herein by reference to Exhibit 10.1 to the Company's Current Report on Form 8-K filed August 13, 2025).</w:t>
              </w:r>
            </w:hyperlink>
          </w:p>
        </w:tc>
        <w:tc>
          <w:tcPr>
            <w:tcW w:w="40" w:type="dxa"/>
            <w:vAlign w:val="bottom"/>
            <w:gridSpan w:val="2"/>
          </w:tcPr>
          <w:p>
            <w:pPr>
              <w:spacing w:after="0"/>
              <w:rPr>
                <w:sz w:val="10"/>
                <w:szCs w:val="10"/>
                <w:color w:val="auto"/>
              </w:rPr>
            </w:pPr>
          </w:p>
        </w:tc>
        <w:tc>
          <w:tcPr>
            <w:tcW w:w="80" w:type="dxa"/>
            <w:vAlign w:val="bottom"/>
            <w:gridSpan w:val="4"/>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gridSpan w:val="6"/>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1260" w:type="dxa"/>
            <w:vAlign w:val="bottom"/>
          </w:tcPr>
          <w:p>
            <w:pPr>
              <w:spacing w:after="0"/>
              <w:rPr>
                <w:sz w:val="20"/>
                <w:szCs w:val="20"/>
                <w:color w:val="auto"/>
              </w:rPr>
            </w:pPr>
            <w:r>
              <w:rPr>
                <w:rFonts w:ascii="Times New Roman" w:cs="Times New Roman" w:eastAsia="Times New Roman" w:hAnsi="Times New Roman"/>
                <w:sz w:val="14"/>
                <w:szCs w:val="14"/>
                <w:color w:val="auto"/>
              </w:rPr>
              <w:t>19</w:t>
            </w:r>
          </w:p>
        </w:tc>
        <w:tc>
          <w:tcPr>
            <w:tcW w:w="7900" w:type="dxa"/>
            <w:vAlign w:val="bottom"/>
            <w:tcBorders>
              <w:top w:val="single" w:sz="8" w:color="0000FF"/>
              <w:bottom w:val="single" w:sz="8" w:color="0000FF"/>
            </w:tcBorders>
            <w:gridSpan w:val="18"/>
          </w:tcPr>
          <w:p>
            <w:pPr>
              <w:spacing w:after="0"/>
              <w:rPr>
                <w:rFonts w:ascii="Times New Roman" w:cs="Times New Roman" w:eastAsia="Times New Roman" w:hAnsi="Times New Roman"/>
                <w:sz w:val="14"/>
                <w:szCs w:val="14"/>
                <w:color w:val="0000FF"/>
                <w:w w:val="97"/>
              </w:rPr>
            </w:pPr>
            <w:hyperlink r:id="rId100">
              <w:r>
                <w:rPr>
                  <w:rFonts w:ascii="Times New Roman" w:cs="Times New Roman" w:eastAsia="Times New Roman" w:hAnsi="Times New Roman"/>
                  <w:sz w:val="14"/>
                  <w:szCs w:val="14"/>
                  <w:color w:val="0000FF"/>
                  <w:w w:val="97"/>
                </w:rPr>
                <w:t>Insider Trading Policy (incorporated herein by reference to Exhibit 19 to the Company’s Annual Report on Form 10-K filed on March 7, 2025).</w:t>
              </w:r>
            </w:hyperlink>
          </w:p>
        </w:tc>
        <w:tc>
          <w:tcPr>
            <w:tcW w:w="1400" w:type="dxa"/>
            <w:vAlign w:val="bottom"/>
            <w:tcBorders>
              <w:top w:val="single" w:sz="8" w:color="0000FF"/>
            </w:tcBorders>
            <w:gridSpan w:val="6"/>
          </w:tcPr>
          <w:p>
            <w:pPr>
              <w:spacing w:after="0"/>
              <w:rPr>
                <w:sz w:val="13"/>
                <w:szCs w:val="13"/>
                <w:color w:val="auto"/>
              </w:rPr>
            </w:pPr>
          </w:p>
        </w:tc>
        <w:tc>
          <w:tcPr>
            <w:tcW w:w="700" w:type="dxa"/>
            <w:vAlign w:val="bottom"/>
            <w:gridSpan w:val="17"/>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1260" w:type="dxa"/>
            <w:vAlign w:val="bottom"/>
          </w:tcPr>
          <w:p>
            <w:pPr>
              <w:spacing w:after="0"/>
              <w:rPr>
                <w:sz w:val="20"/>
                <w:szCs w:val="20"/>
                <w:color w:val="auto"/>
              </w:rPr>
            </w:pPr>
            <w:r>
              <w:rPr>
                <w:rFonts w:ascii="Times New Roman" w:cs="Times New Roman" w:eastAsia="Times New Roman" w:hAnsi="Times New Roman"/>
                <w:sz w:val="14"/>
                <w:szCs w:val="14"/>
                <w:color w:val="auto"/>
              </w:rPr>
              <w:t>21</w:t>
            </w:r>
          </w:p>
        </w:tc>
        <w:tc>
          <w:tcPr>
            <w:tcW w:w="10000" w:type="dxa"/>
            <w:vAlign w:val="bottom"/>
            <w:gridSpan w:val="41"/>
          </w:tcPr>
          <w:p>
            <w:pPr>
              <w:spacing w:after="0"/>
              <w:rPr>
                <w:sz w:val="20"/>
                <w:szCs w:val="20"/>
                <w:color w:val="auto"/>
              </w:rPr>
            </w:pPr>
            <w:r>
              <w:rPr>
                <w:rFonts w:ascii="Times New Roman" w:cs="Times New Roman" w:eastAsia="Times New Roman" w:hAnsi="Times New Roman"/>
                <w:sz w:val="14"/>
                <w:szCs w:val="14"/>
                <w:color w:val="0000FF"/>
              </w:rPr>
              <w:t>List of Subsidiaries of the Registrant.</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60" w:type="dxa"/>
            <w:vAlign w:val="bottom"/>
            <w:gridSpan w:val="5"/>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3060" w:type="dxa"/>
            <w:vAlign w:val="bottom"/>
            <w:gridSpan w:val="1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1260" w:type="dxa"/>
            <w:vAlign w:val="bottom"/>
          </w:tcPr>
          <w:p>
            <w:pPr>
              <w:spacing w:after="0"/>
              <w:rPr>
                <w:sz w:val="20"/>
                <w:szCs w:val="20"/>
                <w:color w:val="auto"/>
              </w:rPr>
            </w:pPr>
            <w:r>
              <w:rPr>
                <w:rFonts w:ascii="Times New Roman" w:cs="Times New Roman" w:eastAsia="Times New Roman" w:hAnsi="Times New Roman"/>
                <w:sz w:val="14"/>
                <w:szCs w:val="14"/>
                <w:color w:val="auto"/>
              </w:rPr>
              <w:t>23.1</w:t>
            </w:r>
          </w:p>
        </w:tc>
        <w:tc>
          <w:tcPr>
            <w:tcW w:w="390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4"/>
                <w:szCs w:val="14"/>
                <w:color w:val="0000FF"/>
                <w:w w:val="97"/>
              </w:rPr>
              <w:t>Consent of Independent Registered Public Accounting Firm (Deloitte).</w:t>
            </w:r>
          </w:p>
        </w:tc>
        <w:tc>
          <w:tcPr>
            <w:tcW w:w="6100" w:type="dxa"/>
            <w:vAlign w:val="bottom"/>
            <w:gridSpan w:val="30"/>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260" w:type="dxa"/>
            <w:vAlign w:val="bottom"/>
          </w:tcPr>
          <w:p>
            <w:pPr>
              <w:spacing w:after="0"/>
              <w:rPr>
                <w:sz w:val="20"/>
                <w:szCs w:val="20"/>
                <w:color w:val="auto"/>
              </w:rPr>
            </w:pPr>
            <w:r>
              <w:rPr>
                <w:rFonts w:ascii="Times New Roman" w:cs="Times New Roman" w:eastAsia="Times New Roman" w:hAnsi="Times New Roman"/>
                <w:sz w:val="14"/>
                <w:szCs w:val="14"/>
                <w:color w:val="auto"/>
              </w:rPr>
              <w:t>23.2</w:t>
            </w:r>
          </w:p>
        </w:tc>
        <w:tc>
          <w:tcPr>
            <w:tcW w:w="456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4"/>
                <w:szCs w:val="14"/>
                <w:color w:val="0000FF"/>
                <w:w w:val="97"/>
              </w:rPr>
              <w:t>Consent of Independent Registered Public Accounting Firm (Ernst &amp; Young LLP).</w:t>
            </w:r>
          </w:p>
        </w:tc>
        <w:tc>
          <w:tcPr>
            <w:tcW w:w="5440" w:type="dxa"/>
            <w:vAlign w:val="bottom"/>
            <w:gridSpan w:val="27"/>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260" w:type="dxa"/>
            <w:vAlign w:val="bottom"/>
          </w:tcPr>
          <w:p>
            <w:pPr>
              <w:spacing w:after="0"/>
              <w:rPr>
                <w:sz w:val="20"/>
                <w:szCs w:val="20"/>
                <w:color w:val="auto"/>
              </w:rPr>
            </w:pPr>
            <w:r>
              <w:rPr>
                <w:rFonts w:ascii="Times New Roman" w:cs="Times New Roman" w:eastAsia="Times New Roman" w:hAnsi="Times New Roman"/>
                <w:sz w:val="14"/>
                <w:szCs w:val="14"/>
                <w:color w:val="auto"/>
              </w:rPr>
              <w:t>31.1</w:t>
            </w:r>
          </w:p>
        </w:tc>
        <w:tc>
          <w:tcPr>
            <w:tcW w:w="10000" w:type="dxa"/>
            <w:vAlign w:val="bottom"/>
            <w:gridSpan w:val="41"/>
          </w:tcPr>
          <w:p>
            <w:pPr>
              <w:spacing w:after="0"/>
              <w:rPr>
                <w:sz w:val="20"/>
                <w:szCs w:val="20"/>
                <w:color w:val="auto"/>
              </w:rPr>
            </w:pPr>
            <w:r>
              <w:rPr>
                <w:rFonts w:ascii="Times New Roman" w:cs="Times New Roman" w:eastAsia="Times New Roman" w:hAnsi="Times New Roman"/>
                <w:sz w:val="14"/>
                <w:szCs w:val="14"/>
                <w:color w:val="0000FF"/>
              </w:rPr>
              <w:t>Certification of Principal Executive Officer pursuant to Rule 13a-14(a) and Rule 15d-14(a) of the Securities Exchange Act, as amended as adopted pursuant to Section 302 of the</w:t>
            </w:r>
          </w:p>
        </w:tc>
        <w:tc>
          <w:tcPr>
            <w:tcW w:w="0" w:type="dxa"/>
            <w:vAlign w:val="bottom"/>
          </w:tcPr>
          <w:p>
            <w:pPr>
              <w:spacing w:after="0"/>
              <w:rPr>
                <w:sz w:val="1"/>
                <w:szCs w:val="1"/>
                <w:color w:val="auto"/>
              </w:rPr>
            </w:pPr>
          </w:p>
        </w:tc>
      </w:tr>
      <w:tr>
        <w:trPr>
          <w:trHeight w:val="122"/>
        </w:trPr>
        <w:tc>
          <w:tcPr>
            <w:tcW w:w="1260" w:type="dxa"/>
            <w:vAlign w:val="bottom"/>
          </w:tcPr>
          <w:p>
            <w:pPr>
              <w:spacing w:after="0"/>
              <w:rPr>
                <w:sz w:val="10"/>
                <w:szCs w:val="10"/>
                <w:color w:val="auto"/>
              </w:rPr>
            </w:pPr>
          </w:p>
        </w:tc>
        <w:tc>
          <w:tcPr>
            <w:tcW w:w="1600" w:type="dxa"/>
            <w:vAlign w:val="bottom"/>
            <w:tcBorders>
              <w:top w:val="single" w:sz="8" w:color="0000FF"/>
              <w:bottom w:val="single" w:sz="8" w:color="0000FF"/>
            </w:tcBorders>
            <w:gridSpan w:val="5"/>
          </w:tcPr>
          <w:p>
            <w:pPr>
              <w:spacing w:after="0" w:line="122" w:lineRule="exact"/>
              <w:rPr>
                <w:sz w:val="20"/>
                <w:szCs w:val="20"/>
                <w:color w:val="auto"/>
              </w:rPr>
            </w:pPr>
            <w:r>
              <w:rPr>
                <w:rFonts w:ascii="Times New Roman" w:cs="Times New Roman" w:eastAsia="Times New Roman" w:hAnsi="Times New Roman"/>
                <w:sz w:val="14"/>
                <w:szCs w:val="14"/>
                <w:color w:val="0000FF"/>
                <w:w w:val="96"/>
              </w:rPr>
              <w:t>Sarbanes-Oxley Act of 2002.</w:t>
            </w:r>
          </w:p>
        </w:tc>
        <w:tc>
          <w:tcPr>
            <w:tcW w:w="8180" w:type="dxa"/>
            <w:vAlign w:val="bottom"/>
            <w:tcBorders>
              <w:top w:val="single" w:sz="8" w:color="0000FF"/>
            </w:tcBorders>
            <w:gridSpan w:val="29"/>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gridSpan w:val="6"/>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1260" w:type="dxa"/>
            <w:vAlign w:val="bottom"/>
          </w:tcPr>
          <w:p>
            <w:pPr>
              <w:spacing w:after="0"/>
              <w:rPr>
                <w:sz w:val="20"/>
                <w:szCs w:val="20"/>
                <w:color w:val="auto"/>
              </w:rPr>
            </w:pPr>
            <w:r>
              <w:rPr>
                <w:rFonts w:ascii="Times New Roman" w:cs="Times New Roman" w:eastAsia="Times New Roman" w:hAnsi="Times New Roman"/>
                <w:sz w:val="14"/>
                <w:szCs w:val="14"/>
                <w:color w:val="auto"/>
              </w:rPr>
              <w:t>31.2</w:t>
            </w:r>
          </w:p>
        </w:tc>
        <w:tc>
          <w:tcPr>
            <w:tcW w:w="10000" w:type="dxa"/>
            <w:vAlign w:val="bottom"/>
            <w:gridSpan w:val="41"/>
          </w:tcPr>
          <w:p>
            <w:pPr>
              <w:spacing w:after="0"/>
              <w:rPr>
                <w:sz w:val="20"/>
                <w:szCs w:val="20"/>
                <w:color w:val="auto"/>
              </w:rPr>
            </w:pPr>
            <w:r>
              <w:rPr>
                <w:rFonts w:ascii="Times New Roman" w:cs="Times New Roman" w:eastAsia="Times New Roman" w:hAnsi="Times New Roman"/>
                <w:sz w:val="14"/>
                <w:szCs w:val="14"/>
                <w:color w:val="0000FF"/>
              </w:rPr>
              <w:t>Certification of Principal Financial Officer pursuant to Rule 13a-14(a) and Rule 15d-14(a) of the Securities Exchange Act, as amended as adopted pursuant to Section 302 of the</w:t>
            </w:r>
          </w:p>
        </w:tc>
        <w:tc>
          <w:tcPr>
            <w:tcW w:w="0" w:type="dxa"/>
            <w:vAlign w:val="bottom"/>
          </w:tcPr>
          <w:p>
            <w:pPr>
              <w:spacing w:after="0"/>
              <w:rPr>
                <w:sz w:val="1"/>
                <w:szCs w:val="1"/>
                <w:color w:val="auto"/>
              </w:rPr>
            </w:pPr>
          </w:p>
        </w:tc>
      </w:tr>
      <w:tr>
        <w:trPr>
          <w:trHeight w:val="122"/>
        </w:trPr>
        <w:tc>
          <w:tcPr>
            <w:tcW w:w="1260" w:type="dxa"/>
            <w:vAlign w:val="bottom"/>
          </w:tcPr>
          <w:p>
            <w:pPr>
              <w:spacing w:after="0"/>
              <w:rPr>
                <w:sz w:val="10"/>
                <w:szCs w:val="10"/>
                <w:color w:val="auto"/>
              </w:rPr>
            </w:pPr>
          </w:p>
        </w:tc>
        <w:tc>
          <w:tcPr>
            <w:tcW w:w="1600" w:type="dxa"/>
            <w:vAlign w:val="bottom"/>
            <w:tcBorders>
              <w:top w:val="single" w:sz="8" w:color="0000FF"/>
              <w:bottom w:val="single" w:sz="8" w:color="0000FF"/>
            </w:tcBorders>
            <w:gridSpan w:val="5"/>
          </w:tcPr>
          <w:p>
            <w:pPr>
              <w:spacing w:after="0" w:line="122" w:lineRule="exact"/>
              <w:rPr>
                <w:sz w:val="20"/>
                <w:szCs w:val="20"/>
                <w:color w:val="auto"/>
              </w:rPr>
            </w:pPr>
            <w:r>
              <w:rPr>
                <w:rFonts w:ascii="Times New Roman" w:cs="Times New Roman" w:eastAsia="Times New Roman" w:hAnsi="Times New Roman"/>
                <w:sz w:val="14"/>
                <w:szCs w:val="14"/>
                <w:color w:val="0000FF"/>
                <w:w w:val="96"/>
              </w:rPr>
              <w:t>Sarbanes-Oxley Act of 2002.</w:t>
            </w:r>
          </w:p>
        </w:tc>
        <w:tc>
          <w:tcPr>
            <w:tcW w:w="8100" w:type="dxa"/>
            <w:vAlign w:val="bottom"/>
            <w:tcBorders>
              <w:top w:val="single" w:sz="8" w:color="0000FF"/>
            </w:tcBorders>
            <w:gridSpan w:val="25"/>
          </w:tcPr>
          <w:p>
            <w:pPr>
              <w:spacing w:after="0"/>
              <w:rPr>
                <w:sz w:val="10"/>
                <w:szCs w:val="10"/>
                <w:color w:val="auto"/>
              </w:rPr>
            </w:pPr>
          </w:p>
        </w:tc>
        <w:tc>
          <w:tcPr>
            <w:tcW w:w="120" w:type="dxa"/>
            <w:vAlign w:val="bottom"/>
            <w:gridSpan w:val="5"/>
          </w:tcPr>
          <w:p>
            <w:pPr>
              <w:spacing w:after="0"/>
              <w:rPr>
                <w:sz w:val="10"/>
                <w:szCs w:val="10"/>
                <w:color w:val="auto"/>
              </w:rPr>
            </w:pPr>
          </w:p>
        </w:tc>
        <w:tc>
          <w:tcPr>
            <w:tcW w:w="180" w:type="dxa"/>
            <w:vAlign w:val="bottom"/>
            <w:gridSpan w:val="6"/>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1260" w:type="dxa"/>
            <w:vAlign w:val="bottom"/>
          </w:tcPr>
          <w:p>
            <w:pPr>
              <w:spacing w:after="0"/>
              <w:rPr>
                <w:sz w:val="20"/>
                <w:szCs w:val="20"/>
                <w:color w:val="auto"/>
              </w:rPr>
            </w:pPr>
            <w:r>
              <w:rPr>
                <w:rFonts w:ascii="Times New Roman" w:cs="Times New Roman" w:eastAsia="Times New Roman" w:hAnsi="Times New Roman"/>
                <w:sz w:val="14"/>
                <w:szCs w:val="14"/>
                <w:color w:val="auto"/>
              </w:rPr>
              <w:t>32.1</w:t>
            </w:r>
          </w:p>
        </w:tc>
        <w:tc>
          <w:tcPr>
            <w:tcW w:w="10000" w:type="dxa"/>
            <w:vAlign w:val="bottom"/>
            <w:gridSpan w:val="41"/>
          </w:tcPr>
          <w:p>
            <w:pPr>
              <w:spacing w:after="0"/>
              <w:rPr>
                <w:sz w:val="20"/>
                <w:szCs w:val="20"/>
                <w:color w:val="auto"/>
              </w:rPr>
            </w:pPr>
            <w:r>
              <w:rPr>
                <w:rFonts w:ascii="Times New Roman" w:cs="Times New Roman" w:eastAsia="Times New Roman" w:hAnsi="Times New Roman"/>
                <w:sz w:val="14"/>
                <w:szCs w:val="14"/>
                <w:color w:val="0000FF"/>
              </w:rPr>
              <w:t>Certification pursuant to 18 U.S.C. Section 1350, as adopted pursuant to Section 906 of the Sarbanes-Oxley Act of 2002.</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6080" w:type="dxa"/>
            <w:vAlign w:val="bottom"/>
            <w:gridSpan w:val="14"/>
            <w:shd w:val="clear" w:color="auto" w:fill="0000FF"/>
          </w:tcPr>
          <w:p>
            <w:pPr>
              <w:spacing w:after="0" w:line="20" w:lineRule="exact"/>
              <w:rPr>
                <w:sz w:val="1"/>
                <w:szCs w:val="1"/>
                <w:color w:val="auto"/>
              </w:rPr>
            </w:pPr>
          </w:p>
        </w:tc>
        <w:tc>
          <w:tcPr>
            <w:tcW w:w="3180" w:type="dxa"/>
            <w:vAlign w:val="bottom"/>
            <w:gridSpan w:val="19"/>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1260" w:type="dxa"/>
            <w:vAlign w:val="bottom"/>
          </w:tcPr>
          <w:p>
            <w:pPr>
              <w:spacing w:after="0"/>
              <w:rPr>
                <w:sz w:val="20"/>
                <w:szCs w:val="20"/>
                <w:color w:val="auto"/>
              </w:rPr>
            </w:pPr>
            <w:r>
              <w:rPr>
                <w:rFonts w:ascii="Times New Roman" w:cs="Times New Roman" w:eastAsia="Times New Roman" w:hAnsi="Times New Roman"/>
                <w:sz w:val="14"/>
                <w:szCs w:val="14"/>
                <w:color w:val="auto"/>
              </w:rPr>
              <w:t>97</w:t>
            </w:r>
          </w:p>
        </w:tc>
        <w:tc>
          <w:tcPr>
            <w:tcW w:w="10000" w:type="dxa"/>
            <w:vAlign w:val="bottom"/>
            <w:gridSpan w:val="41"/>
          </w:tcPr>
          <w:p>
            <w:pPr>
              <w:spacing w:after="0"/>
              <w:rPr>
                <w:rFonts w:ascii="Times New Roman" w:cs="Times New Roman" w:eastAsia="Times New Roman" w:hAnsi="Times New Roman"/>
                <w:sz w:val="14"/>
                <w:szCs w:val="14"/>
                <w:color w:val="0000FF"/>
                <w:w w:val="99"/>
              </w:rPr>
            </w:pPr>
            <w:hyperlink r:id="rId101">
              <w:r>
                <w:rPr>
                  <w:rFonts w:ascii="Times New Roman" w:cs="Times New Roman" w:eastAsia="Times New Roman" w:hAnsi="Times New Roman"/>
                  <w:sz w:val="14"/>
                  <w:szCs w:val="14"/>
                  <w:color w:val="0000FF"/>
                  <w:w w:val="99"/>
                </w:rPr>
                <w:t>Surgery Partners, Inc. Executive Compensation Recovery Policy (incorporated herein by reference to Exhibit 97 to the Company's Annual Report on Form 10-K filed on February</w:t>
              </w:r>
            </w:hyperlink>
          </w:p>
        </w:tc>
        <w:tc>
          <w:tcPr>
            <w:tcW w:w="0" w:type="dxa"/>
            <w:vAlign w:val="bottom"/>
          </w:tcPr>
          <w:p>
            <w:pPr>
              <w:spacing w:after="0"/>
              <w:rPr>
                <w:sz w:val="1"/>
                <w:szCs w:val="1"/>
                <w:color w:val="auto"/>
              </w:rPr>
            </w:pPr>
          </w:p>
        </w:tc>
      </w:tr>
      <w:tr>
        <w:trPr>
          <w:trHeight w:val="122"/>
        </w:trPr>
        <w:tc>
          <w:tcPr>
            <w:tcW w:w="1260" w:type="dxa"/>
            <w:vAlign w:val="bottom"/>
          </w:tcPr>
          <w:p>
            <w:pPr>
              <w:spacing w:after="0"/>
              <w:rPr>
                <w:sz w:val="10"/>
                <w:szCs w:val="10"/>
                <w:color w:val="auto"/>
              </w:rPr>
            </w:pPr>
          </w:p>
        </w:tc>
        <w:tc>
          <w:tcPr>
            <w:tcW w:w="560" w:type="dxa"/>
            <w:vAlign w:val="bottom"/>
            <w:tcBorders>
              <w:top w:val="single" w:sz="8" w:color="0000FF"/>
              <w:bottom w:val="single" w:sz="8" w:color="0000FF"/>
            </w:tcBorders>
            <w:gridSpan w:val="2"/>
          </w:tcPr>
          <w:p>
            <w:pPr>
              <w:spacing w:after="0" w:line="122" w:lineRule="exact"/>
              <w:rPr>
                <w:rFonts w:ascii="Times New Roman" w:cs="Times New Roman" w:eastAsia="Times New Roman" w:hAnsi="Times New Roman"/>
                <w:sz w:val="14"/>
                <w:szCs w:val="14"/>
                <w:color w:val="0000FF"/>
                <w:w w:val="94"/>
              </w:rPr>
            </w:pPr>
            <w:hyperlink r:id="rId101">
              <w:r>
                <w:rPr>
                  <w:rFonts w:ascii="Times New Roman" w:cs="Times New Roman" w:eastAsia="Times New Roman" w:hAnsi="Times New Roman"/>
                  <w:sz w:val="14"/>
                  <w:szCs w:val="14"/>
                  <w:color w:val="0000FF"/>
                  <w:w w:val="94"/>
                </w:rPr>
                <w:t>26, 2024).</w:t>
              </w:r>
            </w:hyperlink>
          </w:p>
        </w:tc>
        <w:tc>
          <w:tcPr>
            <w:tcW w:w="360" w:type="dxa"/>
            <w:vAlign w:val="bottom"/>
            <w:tcBorders>
              <w:top w:val="single" w:sz="8" w:color="0000FF"/>
            </w:tcBorders>
          </w:tcPr>
          <w:p>
            <w:pPr>
              <w:spacing w:after="0"/>
              <w:rPr>
                <w:sz w:val="10"/>
                <w:szCs w:val="10"/>
                <w:color w:val="auto"/>
              </w:rPr>
            </w:pPr>
          </w:p>
        </w:tc>
        <w:tc>
          <w:tcPr>
            <w:tcW w:w="240" w:type="dxa"/>
            <w:vAlign w:val="bottom"/>
            <w:tcBorders>
              <w:top w:val="single" w:sz="8" w:color="0000FF"/>
            </w:tcBorders>
          </w:tcPr>
          <w:p>
            <w:pPr>
              <w:spacing w:after="0"/>
              <w:rPr>
                <w:sz w:val="10"/>
                <w:szCs w:val="10"/>
                <w:color w:val="auto"/>
              </w:rPr>
            </w:pPr>
          </w:p>
        </w:tc>
        <w:tc>
          <w:tcPr>
            <w:tcW w:w="440" w:type="dxa"/>
            <w:vAlign w:val="bottom"/>
            <w:tcBorders>
              <w:top w:val="single" w:sz="8" w:color="0000FF"/>
            </w:tcBorders>
          </w:tcPr>
          <w:p>
            <w:pPr>
              <w:spacing w:after="0"/>
              <w:rPr>
                <w:sz w:val="10"/>
                <w:szCs w:val="10"/>
                <w:color w:val="auto"/>
              </w:rPr>
            </w:pPr>
          </w:p>
        </w:tc>
        <w:tc>
          <w:tcPr>
            <w:tcW w:w="440" w:type="dxa"/>
            <w:vAlign w:val="bottom"/>
            <w:tcBorders>
              <w:top w:val="single" w:sz="8" w:color="0000FF"/>
            </w:tcBorders>
          </w:tcPr>
          <w:p>
            <w:pPr>
              <w:spacing w:after="0"/>
              <w:rPr>
                <w:sz w:val="10"/>
                <w:szCs w:val="10"/>
                <w:color w:val="auto"/>
              </w:rPr>
            </w:pPr>
          </w:p>
        </w:tc>
        <w:tc>
          <w:tcPr>
            <w:tcW w:w="520" w:type="dxa"/>
            <w:vAlign w:val="bottom"/>
            <w:tcBorders>
              <w:top w:val="single" w:sz="8" w:color="0000FF"/>
            </w:tcBorders>
          </w:tcPr>
          <w:p>
            <w:pPr>
              <w:spacing w:after="0"/>
              <w:rPr>
                <w:sz w:val="10"/>
                <w:szCs w:val="10"/>
                <w:color w:val="auto"/>
              </w:rPr>
            </w:pPr>
          </w:p>
        </w:tc>
        <w:tc>
          <w:tcPr>
            <w:tcW w:w="520" w:type="dxa"/>
            <w:vAlign w:val="bottom"/>
            <w:tcBorders>
              <w:top w:val="single" w:sz="8" w:color="0000FF"/>
            </w:tcBorders>
          </w:tcPr>
          <w:p>
            <w:pPr>
              <w:spacing w:after="0"/>
              <w:rPr>
                <w:sz w:val="10"/>
                <w:szCs w:val="10"/>
                <w:color w:val="auto"/>
              </w:rPr>
            </w:pPr>
          </w:p>
        </w:tc>
        <w:tc>
          <w:tcPr>
            <w:tcW w:w="160" w:type="dxa"/>
            <w:vAlign w:val="bottom"/>
            <w:tcBorders>
              <w:top w:val="single" w:sz="8" w:color="0000FF"/>
            </w:tcBorders>
          </w:tcPr>
          <w:p>
            <w:pPr>
              <w:spacing w:after="0"/>
              <w:rPr>
                <w:sz w:val="10"/>
                <w:szCs w:val="10"/>
                <w:color w:val="auto"/>
              </w:rPr>
            </w:pPr>
          </w:p>
        </w:tc>
        <w:tc>
          <w:tcPr>
            <w:tcW w:w="420" w:type="dxa"/>
            <w:vAlign w:val="bottom"/>
            <w:tcBorders>
              <w:top w:val="single" w:sz="8" w:color="0000FF"/>
            </w:tcBorders>
          </w:tcPr>
          <w:p>
            <w:pPr>
              <w:spacing w:after="0"/>
              <w:rPr>
                <w:sz w:val="10"/>
                <w:szCs w:val="10"/>
                <w:color w:val="auto"/>
              </w:rPr>
            </w:pPr>
          </w:p>
        </w:tc>
        <w:tc>
          <w:tcPr>
            <w:tcW w:w="24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140" w:type="dxa"/>
            <w:vAlign w:val="bottom"/>
            <w:tcBorders>
              <w:top w:val="single" w:sz="8" w:color="0000FF"/>
            </w:tcBorders>
          </w:tcPr>
          <w:p>
            <w:pPr>
              <w:spacing w:after="0"/>
              <w:rPr>
                <w:sz w:val="10"/>
                <w:szCs w:val="10"/>
                <w:color w:val="auto"/>
              </w:rPr>
            </w:pPr>
          </w:p>
        </w:tc>
        <w:tc>
          <w:tcPr>
            <w:tcW w:w="440" w:type="dxa"/>
            <w:vAlign w:val="bottom"/>
            <w:tcBorders>
              <w:top w:val="single" w:sz="8" w:color="0000FF"/>
            </w:tcBorders>
          </w:tcPr>
          <w:p>
            <w:pPr>
              <w:spacing w:after="0"/>
              <w:rPr>
                <w:sz w:val="10"/>
                <w:szCs w:val="10"/>
                <w:color w:val="auto"/>
              </w:rPr>
            </w:pPr>
          </w:p>
        </w:tc>
        <w:tc>
          <w:tcPr>
            <w:tcW w:w="920" w:type="dxa"/>
            <w:vAlign w:val="bottom"/>
            <w:tcBorders>
              <w:top w:val="single" w:sz="8" w:color="0000FF"/>
            </w:tcBorders>
          </w:tcPr>
          <w:p>
            <w:pPr>
              <w:spacing w:after="0"/>
              <w:rPr>
                <w:sz w:val="10"/>
                <w:szCs w:val="10"/>
                <w:color w:val="auto"/>
              </w:rPr>
            </w:pPr>
          </w:p>
        </w:tc>
        <w:tc>
          <w:tcPr>
            <w:tcW w:w="1160" w:type="dxa"/>
            <w:vAlign w:val="bottom"/>
            <w:tcBorders>
              <w:top w:val="single" w:sz="8" w:color="0000FF"/>
            </w:tcBorders>
          </w:tcPr>
          <w:p>
            <w:pPr>
              <w:spacing w:after="0"/>
              <w:rPr>
                <w:sz w:val="10"/>
                <w:szCs w:val="10"/>
                <w:color w:val="auto"/>
              </w:rPr>
            </w:pPr>
          </w:p>
        </w:tc>
        <w:tc>
          <w:tcPr>
            <w:tcW w:w="280" w:type="dxa"/>
            <w:vAlign w:val="bottom"/>
            <w:tcBorders>
              <w:top w:val="single" w:sz="8" w:color="0000FF"/>
            </w:tcBorders>
          </w:tcPr>
          <w:p>
            <w:pPr>
              <w:spacing w:after="0"/>
              <w:rPr>
                <w:sz w:val="10"/>
                <w:szCs w:val="10"/>
                <w:color w:val="auto"/>
              </w:rPr>
            </w:pPr>
          </w:p>
        </w:tc>
        <w:tc>
          <w:tcPr>
            <w:tcW w:w="980" w:type="dxa"/>
            <w:vAlign w:val="bottom"/>
            <w:tcBorders>
              <w:top w:val="single" w:sz="8" w:color="0000FF"/>
            </w:tcBorders>
          </w:tcPr>
          <w:p>
            <w:pPr>
              <w:spacing w:after="0"/>
              <w:rPr>
                <w:sz w:val="10"/>
                <w:szCs w:val="10"/>
                <w:color w:val="auto"/>
              </w:rPr>
            </w:pPr>
          </w:p>
        </w:tc>
        <w:tc>
          <w:tcPr>
            <w:tcW w:w="800" w:type="dxa"/>
            <w:vAlign w:val="bottom"/>
            <w:tcBorders>
              <w:top w:val="single" w:sz="8" w:color="0000FF"/>
            </w:tcBorders>
          </w:tcPr>
          <w:p>
            <w:pPr>
              <w:spacing w:after="0"/>
              <w:rPr>
                <w:sz w:val="10"/>
                <w:szCs w:val="10"/>
                <w:color w:val="auto"/>
              </w:rPr>
            </w:pPr>
          </w:p>
        </w:tc>
        <w:tc>
          <w:tcPr>
            <w:tcW w:w="28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20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260" w:type="dxa"/>
            <w:vAlign w:val="bottom"/>
          </w:tcPr>
          <w:p>
            <w:pPr>
              <w:spacing w:after="0" w:line="153" w:lineRule="exact"/>
              <w:rPr>
                <w:sz w:val="20"/>
                <w:szCs w:val="20"/>
                <w:color w:val="auto"/>
              </w:rPr>
            </w:pPr>
            <w:r>
              <w:rPr>
                <w:rFonts w:ascii="Times New Roman" w:cs="Times New Roman" w:eastAsia="Times New Roman" w:hAnsi="Times New Roman"/>
                <w:sz w:val="14"/>
                <w:szCs w:val="14"/>
                <w:color w:val="auto"/>
              </w:rPr>
              <w:t>101.INS</w:t>
            </w:r>
          </w:p>
        </w:tc>
        <w:tc>
          <w:tcPr>
            <w:tcW w:w="10000" w:type="dxa"/>
            <w:vAlign w:val="bottom"/>
            <w:gridSpan w:val="41"/>
          </w:tcPr>
          <w:p>
            <w:pPr>
              <w:spacing w:after="0" w:line="153" w:lineRule="exact"/>
              <w:rPr>
                <w:sz w:val="20"/>
                <w:szCs w:val="20"/>
                <w:color w:val="auto"/>
              </w:rPr>
            </w:pPr>
            <w:r>
              <w:rPr>
                <w:rFonts w:ascii="Times New Roman" w:cs="Times New Roman" w:eastAsia="Times New Roman" w:hAnsi="Times New Roman"/>
                <w:sz w:val="14"/>
                <w:szCs w:val="14"/>
                <w:color w:val="auto"/>
              </w:rPr>
              <w:t>Inline XBRL Taxonomy Extension Instance Document - the instance document does not appear in the interactive data file because its XBRL tags are embedded within the inline</w:t>
            </w:r>
          </w:p>
        </w:tc>
        <w:tc>
          <w:tcPr>
            <w:tcW w:w="0" w:type="dxa"/>
            <w:vAlign w:val="bottom"/>
          </w:tcPr>
          <w:p>
            <w:pPr>
              <w:spacing w:after="0"/>
              <w:rPr>
                <w:sz w:val="1"/>
                <w:szCs w:val="1"/>
                <w:color w:val="auto"/>
              </w:rPr>
            </w:pPr>
          </w:p>
        </w:tc>
      </w:tr>
      <w:tr>
        <w:trPr>
          <w:trHeight w:val="178"/>
        </w:trPr>
        <w:tc>
          <w:tcPr>
            <w:tcW w:w="1260" w:type="dxa"/>
            <w:vAlign w:val="bottom"/>
          </w:tcPr>
          <w:p>
            <w:pPr>
              <w:spacing w:after="0"/>
              <w:rPr>
                <w:sz w:val="15"/>
                <w:szCs w:val="15"/>
                <w:color w:val="auto"/>
              </w:rPr>
            </w:pPr>
          </w:p>
        </w:tc>
        <w:tc>
          <w:tcPr>
            <w:tcW w:w="10000" w:type="dxa"/>
            <w:vAlign w:val="bottom"/>
            <w:gridSpan w:val="41"/>
          </w:tcPr>
          <w:p>
            <w:pPr>
              <w:spacing w:after="0"/>
              <w:rPr>
                <w:sz w:val="20"/>
                <w:szCs w:val="20"/>
                <w:color w:val="auto"/>
              </w:rPr>
            </w:pPr>
            <w:r>
              <w:rPr>
                <w:rFonts w:ascii="Times New Roman" w:cs="Times New Roman" w:eastAsia="Times New Roman" w:hAnsi="Times New Roman"/>
                <w:sz w:val="14"/>
                <w:szCs w:val="14"/>
                <w:color w:val="auto"/>
              </w:rPr>
              <w:t>XBRL document.</w:t>
            </w:r>
          </w:p>
        </w:tc>
        <w:tc>
          <w:tcPr>
            <w:tcW w:w="0" w:type="dxa"/>
            <w:vAlign w:val="bottom"/>
          </w:tcPr>
          <w:p>
            <w:pPr>
              <w:spacing w:after="0"/>
              <w:rPr>
                <w:sz w:val="1"/>
                <w:szCs w:val="1"/>
                <w:color w:val="auto"/>
              </w:rPr>
            </w:pPr>
          </w:p>
        </w:tc>
      </w:tr>
      <w:tr>
        <w:trPr>
          <w:trHeight w:val="180"/>
        </w:trPr>
        <w:tc>
          <w:tcPr>
            <w:tcW w:w="1260" w:type="dxa"/>
            <w:vAlign w:val="bottom"/>
          </w:tcPr>
          <w:p>
            <w:pPr>
              <w:spacing w:after="0"/>
              <w:rPr>
                <w:sz w:val="20"/>
                <w:szCs w:val="20"/>
                <w:color w:val="auto"/>
              </w:rPr>
            </w:pPr>
            <w:r>
              <w:rPr>
                <w:rFonts w:ascii="Times New Roman" w:cs="Times New Roman" w:eastAsia="Times New Roman" w:hAnsi="Times New Roman"/>
                <w:sz w:val="14"/>
                <w:szCs w:val="14"/>
                <w:color w:val="auto"/>
              </w:rPr>
              <w:t>101.SCH</w:t>
            </w:r>
          </w:p>
        </w:tc>
        <w:tc>
          <w:tcPr>
            <w:tcW w:w="10000" w:type="dxa"/>
            <w:vAlign w:val="bottom"/>
            <w:gridSpan w:val="41"/>
          </w:tcPr>
          <w:p>
            <w:pPr>
              <w:spacing w:after="0"/>
              <w:rPr>
                <w:sz w:val="20"/>
                <w:szCs w:val="20"/>
                <w:color w:val="auto"/>
              </w:rPr>
            </w:pPr>
            <w:r>
              <w:rPr>
                <w:rFonts w:ascii="Times New Roman" w:cs="Times New Roman" w:eastAsia="Times New Roman" w:hAnsi="Times New Roman"/>
                <w:sz w:val="14"/>
                <w:szCs w:val="14"/>
                <w:color w:val="auto"/>
              </w:rPr>
              <w:t>Inline XBRL Taxonomy Extension Schema Document</w:t>
            </w:r>
          </w:p>
        </w:tc>
        <w:tc>
          <w:tcPr>
            <w:tcW w:w="0" w:type="dxa"/>
            <w:vAlign w:val="bottom"/>
          </w:tcPr>
          <w:p>
            <w:pPr>
              <w:spacing w:after="0"/>
              <w:rPr>
                <w:sz w:val="1"/>
                <w:szCs w:val="1"/>
                <w:color w:val="auto"/>
              </w:rPr>
            </w:pPr>
          </w:p>
        </w:tc>
      </w:tr>
      <w:tr>
        <w:trPr>
          <w:trHeight w:val="193"/>
        </w:trPr>
        <w:tc>
          <w:tcPr>
            <w:tcW w:w="1260" w:type="dxa"/>
            <w:vAlign w:val="bottom"/>
          </w:tcPr>
          <w:p>
            <w:pPr>
              <w:spacing w:after="0"/>
              <w:rPr>
                <w:sz w:val="20"/>
                <w:szCs w:val="20"/>
                <w:color w:val="auto"/>
              </w:rPr>
            </w:pPr>
            <w:r>
              <w:rPr>
                <w:rFonts w:ascii="Times New Roman" w:cs="Times New Roman" w:eastAsia="Times New Roman" w:hAnsi="Times New Roman"/>
                <w:sz w:val="14"/>
                <w:szCs w:val="14"/>
                <w:color w:val="auto"/>
              </w:rPr>
              <w:t>101.CAL</w:t>
            </w:r>
          </w:p>
        </w:tc>
        <w:tc>
          <w:tcPr>
            <w:tcW w:w="10000" w:type="dxa"/>
            <w:vAlign w:val="bottom"/>
            <w:gridSpan w:val="41"/>
          </w:tcPr>
          <w:p>
            <w:pPr>
              <w:spacing w:after="0"/>
              <w:rPr>
                <w:sz w:val="20"/>
                <w:szCs w:val="20"/>
                <w:color w:val="auto"/>
              </w:rPr>
            </w:pPr>
            <w:r>
              <w:rPr>
                <w:rFonts w:ascii="Times New Roman" w:cs="Times New Roman" w:eastAsia="Times New Roman" w:hAnsi="Times New Roman"/>
                <w:sz w:val="14"/>
                <w:szCs w:val="14"/>
                <w:color w:val="auto"/>
              </w:rPr>
              <w:t>Inline XBRL Taxonomy Extension Calculation Linkbase Document</w:t>
            </w:r>
          </w:p>
        </w:tc>
        <w:tc>
          <w:tcPr>
            <w:tcW w:w="0" w:type="dxa"/>
            <w:vAlign w:val="bottom"/>
          </w:tcPr>
          <w:p>
            <w:pPr>
              <w:spacing w:after="0"/>
              <w:rPr>
                <w:sz w:val="1"/>
                <w:szCs w:val="1"/>
                <w:color w:val="auto"/>
              </w:rPr>
            </w:pPr>
          </w:p>
        </w:tc>
      </w:tr>
      <w:tr>
        <w:trPr>
          <w:trHeight w:val="193"/>
        </w:trPr>
        <w:tc>
          <w:tcPr>
            <w:tcW w:w="1260" w:type="dxa"/>
            <w:vAlign w:val="bottom"/>
          </w:tcPr>
          <w:p>
            <w:pPr>
              <w:spacing w:after="0"/>
              <w:rPr>
                <w:sz w:val="20"/>
                <w:szCs w:val="20"/>
                <w:color w:val="auto"/>
              </w:rPr>
            </w:pPr>
            <w:r>
              <w:rPr>
                <w:rFonts w:ascii="Times New Roman" w:cs="Times New Roman" w:eastAsia="Times New Roman" w:hAnsi="Times New Roman"/>
                <w:sz w:val="14"/>
                <w:szCs w:val="14"/>
                <w:color w:val="auto"/>
              </w:rPr>
              <w:t>101.DEF</w:t>
            </w:r>
          </w:p>
        </w:tc>
        <w:tc>
          <w:tcPr>
            <w:tcW w:w="10000" w:type="dxa"/>
            <w:vAlign w:val="bottom"/>
            <w:gridSpan w:val="41"/>
          </w:tcPr>
          <w:p>
            <w:pPr>
              <w:spacing w:after="0"/>
              <w:rPr>
                <w:sz w:val="20"/>
                <w:szCs w:val="20"/>
                <w:color w:val="auto"/>
              </w:rPr>
            </w:pPr>
            <w:r>
              <w:rPr>
                <w:rFonts w:ascii="Times New Roman" w:cs="Times New Roman" w:eastAsia="Times New Roman" w:hAnsi="Times New Roman"/>
                <w:sz w:val="14"/>
                <w:szCs w:val="14"/>
                <w:color w:val="auto"/>
              </w:rPr>
              <w:t>Inline XBRL Taxonomy Extension Definition Linkbase Document</w:t>
            </w:r>
          </w:p>
        </w:tc>
        <w:tc>
          <w:tcPr>
            <w:tcW w:w="0" w:type="dxa"/>
            <w:vAlign w:val="bottom"/>
          </w:tcPr>
          <w:p>
            <w:pPr>
              <w:spacing w:after="0"/>
              <w:rPr>
                <w:sz w:val="1"/>
                <w:szCs w:val="1"/>
                <w:color w:val="auto"/>
              </w:rPr>
            </w:pPr>
          </w:p>
        </w:tc>
      </w:tr>
      <w:tr>
        <w:trPr>
          <w:trHeight w:val="193"/>
        </w:trPr>
        <w:tc>
          <w:tcPr>
            <w:tcW w:w="1260" w:type="dxa"/>
            <w:vAlign w:val="bottom"/>
          </w:tcPr>
          <w:p>
            <w:pPr>
              <w:spacing w:after="0"/>
              <w:rPr>
                <w:sz w:val="20"/>
                <w:szCs w:val="20"/>
                <w:color w:val="auto"/>
              </w:rPr>
            </w:pPr>
            <w:r>
              <w:rPr>
                <w:rFonts w:ascii="Times New Roman" w:cs="Times New Roman" w:eastAsia="Times New Roman" w:hAnsi="Times New Roman"/>
                <w:sz w:val="14"/>
                <w:szCs w:val="14"/>
                <w:color w:val="auto"/>
              </w:rPr>
              <w:t>101.LAB</w:t>
            </w:r>
          </w:p>
        </w:tc>
        <w:tc>
          <w:tcPr>
            <w:tcW w:w="10000" w:type="dxa"/>
            <w:vAlign w:val="bottom"/>
            <w:gridSpan w:val="41"/>
          </w:tcPr>
          <w:p>
            <w:pPr>
              <w:spacing w:after="0"/>
              <w:rPr>
                <w:sz w:val="20"/>
                <w:szCs w:val="20"/>
                <w:color w:val="auto"/>
              </w:rPr>
            </w:pPr>
            <w:r>
              <w:rPr>
                <w:rFonts w:ascii="Times New Roman" w:cs="Times New Roman" w:eastAsia="Times New Roman" w:hAnsi="Times New Roman"/>
                <w:sz w:val="14"/>
                <w:szCs w:val="14"/>
                <w:color w:val="auto"/>
              </w:rPr>
              <w:t>Inline XBRL Taxonomy Extension Label Linkbase Document</w:t>
            </w:r>
          </w:p>
        </w:tc>
        <w:tc>
          <w:tcPr>
            <w:tcW w:w="0" w:type="dxa"/>
            <w:vAlign w:val="bottom"/>
          </w:tcPr>
          <w:p>
            <w:pPr>
              <w:spacing w:after="0"/>
              <w:rPr>
                <w:sz w:val="1"/>
                <w:szCs w:val="1"/>
                <w:color w:val="auto"/>
              </w:rPr>
            </w:pPr>
          </w:p>
        </w:tc>
      </w:tr>
      <w:tr>
        <w:trPr>
          <w:trHeight w:val="193"/>
        </w:trPr>
        <w:tc>
          <w:tcPr>
            <w:tcW w:w="1260" w:type="dxa"/>
            <w:vAlign w:val="bottom"/>
          </w:tcPr>
          <w:p>
            <w:pPr>
              <w:spacing w:after="0"/>
              <w:rPr>
                <w:sz w:val="20"/>
                <w:szCs w:val="20"/>
                <w:color w:val="auto"/>
              </w:rPr>
            </w:pPr>
            <w:r>
              <w:rPr>
                <w:rFonts w:ascii="Times New Roman" w:cs="Times New Roman" w:eastAsia="Times New Roman" w:hAnsi="Times New Roman"/>
                <w:sz w:val="14"/>
                <w:szCs w:val="14"/>
                <w:color w:val="auto"/>
              </w:rPr>
              <w:t>101.PRE</w:t>
            </w:r>
          </w:p>
        </w:tc>
        <w:tc>
          <w:tcPr>
            <w:tcW w:w="10000" w:type="dxa"/>
            <w:vAlign w:val="bottom"/>
            <w:gridSpan w:val="41"/>
          </w:tcPr>
          <w:p>
            <w:pPr>
              <w:spacing w:after="0"/>
              <w:rPr>
                <w:sz w:val="20"/>
                <w:szCs w:val="20"/>
                <w:color w:val="auto"/>
              </w:rPr>
            </w:pPr>
            <w:r>
              <w:rPr>
                <w:rFonts w:ascii="Times New Roman" w:cs="Times New Roman" w:eastAsia="Times New Roman" w:hAnsi="Times New Roman"/>
                <w:sz w:val="14"/>
                <w:szCs w:val="14"/>
                <w:color w:val="auto"/>
              </w:rPr>
              <w:t>Inline XBRL Taxonomy Extension Presentation Linkbase Document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0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0" w:right="3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2"/>
          <w:szCs w:val="12"/>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280" w:hanging="1260"/>
        <w:spacing w:after="0"/>
        <w:tabs>
          <w:tab w:leader="none" w:pos="1280" w:val="left"/>
        </w:tabs>
        <w:numPr>
          <w:ilvl w:val="1"/>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cover page from the Company’s Annual Report on Form 10-K for the year ended December 31, 2024, formatted in Inline XBRL (included in Exhibit 101).</w:t>
      </w:r>
    </w:p>
    <w:p>
      <w:pPr>
        <w:spacing w:after="0" w:line="199" w:lineRule="exact"/>
        <w:rPr>
          <w:rFonts w:ascii="Times New Roman" w:cs="Times New Roman" w:eastAsia="Times New Roman" w:hAnsi="Times New Roman"/>
          <w:sz w:val="14"/>
          <w:szCs w:val="14"/>
          <w:color w:val="auto"/>
        </w:rPr>
      </w:pPr>
    </w:p>
    <w:p>
      <w:pPr>
        <w:ind w:left="200" w:hanging="197"/>
        <w:spacing w:after="0"/>
        <w:tabs>
          <w:tab w:leader="none" w:pos="20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Management Contract or Compensatory Plan or Arrangement.</w:t>
      </w:r>
    </w:p>
    <w:p>
      <w:pPr>
        <w:spacing w:after="0" w:line="84" w:lineRule="exact"/>
        <w:rPr>
          <w:sz w:val="20"/>
          <w:szCs w:val="20"/>
          <w:color w:val="auto"/>
        </w:rPr>
      </w:pPr>
    </w:p>
    <w:p>
      <w:pPr>
        <w:ind w:left="160" w:hanging="157"/>
        <w:spacing w:after="0" w:line="275" w:lineRule="auto"/>
        <w:tabs>
          <w:tab w:leader="none" w:pos="143"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Schedules and/or Exhibits have been omitted pursuant to Item 601(b)(2) of Regulation S-K. The Company agrees to furnish a supplemental copy of any omitted schedule or exhibit to the SEC upon request.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16. Form 10-K Summary</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0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980"/>
          </w:cols>
          <w:pgMar w:left="320" w:top="120" w:right="59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2"/>
          <w:szCs w:val="12"/>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7"/>
          <w:szCs w:val="17"/>
          <w:b w:val="1"/>
          <w:bCs w:val="1"/>
          <w:color w:val="auto"/>
        </w:rPr>
        <w:t>INDEX TO FINANCIAL STATEMENTS</w:t>
      </w:r>
    </w:p>
    <w:p>
      <w:pPr>
        <w:spacing w:after="0" w:line="58" w:lineRule="exact"/>
        <w:rPr>
          <w:sz w:val="20"/>
          <w:szCs w:val="20"/>
          <w:color w:val="auto"/>
        </w:rPr>
      </w:pPr>
    </w:p>
    <w:tbl>
      <w:tblPr>
        <w:tblLayout w:type="fixed"/>
        <w:tblInd w:w="20" w:type="dxa"/>
        <w:tblCellMar>
          <w:top w:w="0" w:type="dxa"/>
          <w:left w:w="0" w:type="dxa"/>
          <w:bottom w:w="0" w:type="dxa"/>
          <w:right w:w="0" w:type="dxa"/>
        </w:tblCellMar>
      </w:tblPr>
      <w:tr>
        <w:trPr>
          <w:trHeight w:val="200"/>
        </w:trPr>
        <w:tc>
          <w:tcPr>
            <w:tcW w:w="8780" w:type="dxa"/>
            <w:vAlign w:val="bottom"/>
          </w:tcPr>
          <w:p>
            <w:pPr>
              <w:spacing w:after="0"/>
              <w:rPr>
                <w:sz w:val="17"/>
                <w:szCs w:val="17"/>
                <w:color w:val="auto"/>
              </w:rPr>
            </w:pPr>
          </w:p>
        </w:tc>
        <w:tc>
          <w:tcPr>
            <w:tcW w:w="1880" w:type="dxa"/>
            <w:vAlign w:val="bottom"/>
          </w:tcPr>
          <w:p>
            <w:pPr>
              <w:ind w:left="1580"/>
              <w:spacing w:after="0"/>
              <w:rPr>
                <w:sz w:val="20"/>
                <w:szCs w:val="20"/>
                <w:color w:val="auto"/>
              </w:rPr>
            </w:pPr>
            <w:r>
              <w:rPr>
                <w:rFonts w:ascii="Times New Roman" w:cs="Times New Roman" w:eastAsia="Times New Roman" w:hAnsi="Times New Roman"/>
                <w:sz w:val="15"/>
                <w:szCs w:val="15"/>
                <w:color w:val="auto"/>
                <w:w w:val="95"/>
              </w:rPr>
              <w:t>Page</w:t>
            </w:r>
          </w:p>
        </w:tc>
      </w:tr>
      <w:tr>
        <w:trPr>
          <w:trHeight w:val="464"/>
        </w:trPr>
        <w:tc>
          <w:tcPr>
            <w:tcW w:w="8780" w:type="dxa"/>
            <w:vAlign w:val="bottom"/>
          </w:tcPr>
          <w:p>
            <w:pPr>
              <w:spacing w:after="0"/>
              <w:rPr>
                <w:sz w:val="20"/>
                <w:szCs w:val="20"/>
                <w:color w:val="auto"/>
              </w:rPr>
            </w:pPr>
            <w:r>
              <w:rPr>
                <w:rFonts w:ascii="Times New Roman" w:cs="Times New Roman" w:eastAsia="Times New Roman" w:hAnsi="Times New Roman"/>
                <w:sz w:val="15"/>
                <w:szCs w:val="15"/>
                <w:color w:val="0000FF"/>
              </w:rPr>
              <w:t xml:space="preserve">Report of Independent Registered Public </w:t>
            </w:r>
            <w:r>
              <w:rPr>
                <w:rFonts w:ascii="Times New Roman" w:cs="Times New Roman" w:eastAsia="Times New Roman" w:hAnsi="Times New Roman"/>
                <w:sz w:val="15"/>
                <w:szCs w:val="15"/>
                <w:color w:val="0E32E1"/>
              </w:rPr>
              <w:t>Accounting Firm (PCAOB ID No. 42)</w:t>
            </w:r>
          </w:p>
        </w:tc>
        <w:tc>
          <w:tcPr>
            <w:tcW w:w="1880" w:type="dxa"/>
            <w:vAlign w:val="bottom"/>
          </w:tcPr>
          <w:p>
            <w:pPr>
              <w:ind w:left="1580"/>
              <w:spacing w:after="0"/>
              <w:rPr>
                <w:sz w:val="20"/>
                <w:szCs w:val="20"/>
                <w:color w:val="auto"/>
              </w:rPr>
            </w:pPr>
            <w:r>
              <w:rPr>
                <w:rFonts w:ascii="Times New Roman" w:cs="Times New Roman" w:eastAsia="Times New Roman" w:hAnsi="Times New Roman"/>
                <w:sz w:val="15"/>
                <w:szCs w:val="15"/>
                <w:color w:val="0E32E1"/>
              </w:rPr>
              <w:t>F-2</w:t>
            </w:r>
          </w:p>
        </w:tc>
      </w:tr>
      <w:tr>
        <w:trPr>
          <w:trHeight w:val="206"/>
        </w:trPr>
        <w:tc>
          <w:tcPr>
            <w:tcW w:w="8780" w:type="dxa"/>
            <w:vAlign w:val="bottom"/>
          </w:tcPr>
          <w:p>
            <w:pPr>
              <w:spacing w:after="0"/>
              <w:rPr>
                <w:sz w:val="20"/>
                <w:szCs w:val="20"/>
                <w:color w:val="auto"/>
              </w:rPr>
            </w:pPr>
            <w:r>
              <w:rPr>
                <w:rFonts w:ascii="Times New Roman" w:cs="Times New Roman" w:eastAsia="Times New Roman" w:hAnsi="Times New Roman"/>
                <w:sz w:val="15"/>
                <w:szCs w:val="15"/>
                <w:color w:val="0000FF"/>
              </w:rPr>
              <w:t xml:space="preserve">Report of Independent Registered Public </w:t>
            </w:r>
            <w:r>
              <w:rPr>
                <w:rFonts w:ascii="Times New Roman" w:cs="Times New Roman" w:eastAsia="Times New Roman" w:hAnsi="Times New Roman"/>
                <w:sz w:val="15"/>
                <w:szCs w:val="15"/>
                <w:color w:val="0E32E1"/>
              </w:rPr>
              <w:t>Accounting Firm (PCAOB ID No. 34)</w:t>
            </w:r>
          </w:p>
        </w:tc>
        <w:tc>
          <w:tcPr>
            <w:tcW w:w="1880" w:type="dxa"/>
            <w:vAlign w:val="bottom"/>
          </w:tcPr>
          <w:p>
            <w:pPr>
              <w:ind w:left="1580"/>
              <w:spacing w:after="0"/>
              <w:rPr>
                <w:sz w:val="20"/>
                <w:szCs w:val="20"/>
                <w:color w:val="auto"/>
              </w:rPr>
            </w:pPr>
            <w:r>
              <w:rPr>
                <w:rFonts w:ascii="Times New Roman" w:cs="Times New Roman" w:eastAsia="Times New Roman" w:hAnsi="Times New Roman"/>
                <w:sz w:val="15"/>
                <w:szCs w:val="15"/>
                <w:color w:val="0E32E1"/>
              </w:rPr>
              <w:t>F-4</w:t>
            </w:r>
          </w:p>
        </w:tc>
      </w:tr>
      <w:tr>
        <w:trPr>
          <w:trHeight w:val="206"/>
        </w:trPr>
        <w:tc>
          <w:tcPr>
            <w:tcW w:w="8780" w:type="dxa"/>
            <w:vAlign w:val="bottom"/>
          </w:tcPr>
          <w:p>
            <w:pPr>
              <w:spacing w:after="0"/>
              <w:rPr>
                <w:sz w:val="20"/>
                <w:szCs w:val="20"/>
                <w:color w:val="auto"/>
              </w:rPr>
            </w:pPr>
            <w:r>
              <w:rPr>
                <w:rFonts w:ascii="Times New Roman" w:cs="Times New Roman" w:eastAsia="Times New Roman" w:hAnsi="Times New Roman"/>
                <w:sz w:val="15"/>
                <w:szCs w:val="15"/>
                <w:color w:val="0000FF"/>
              </w:rPr>
              <w:t>Consolidated Balance Sheets - December 31, 2025 and 204</w:t>
            </w:r>
          </w:p>
        </w:tc>
        <w:tc>
          <w:tcPr>
            <w:tcW w:w="1880" w:type="dxa"/>
            <w:vAlign w:val="bottom"/>
          </w:tcPr>
          <w:p>
            <w:pPr>
              <w:ind w:left="1580"/>
              <w:spacing w:after="0"/>
              <w:rPr>
                <w:sz w:val="20"/>
                <w:szCs w:val="20"/>
                <w:color w:val="auto"/>
              </w:rPr>
            </w:pPr>
            <w:r>
              <w:rPr>
                <w:rFonts w:ascii="Times New Roman" w:cs="Times New Roman" w:eastAsia="Times New Roman" w:hAnsi="Times New Roman"/>
                <w:sz w:val="15"/>
                <w:szCs w:val="15"/>
                <w:color w:val="0E32E1"/>
              </w:rPr>
              <w:t>F-1</w:t>
            </w:r>
          </w:p>
        </w:tc>
      </w:tr>
      <w:tr>
        <w:trPr>
          <w:trHeight w:val="206"/>
        </w:trPr>
        <w:tc>
          <w:tcPr>
            <w:tcW w:w="8780" w:type="dxa"/>
            <w:vAlign w:val="bottom"/>
          </w:tcPr>
          <w:p>
            <w:pPr>
              <w:spacing w:after="0"/>
              <w:rPr>
                <w:sz w:val="20"/>
                <w:szCs w:val="20"/>
                <w:color w:val="auto"/>
              </w:rPr>
            </w:pPr>
            <w:r>
              <w:rPr>
                <w:rFonts w:ascii="Times New Roman" w:cs="Times New Roman" w:eastAsia="Times New Roman" w:hAnsi="Times New Roman"/>
                <w:sz w:val="15"/>
                <w:szCs w:val="15"/>
                <w:color w:val="0000FF"/>
              </w:rPr>
              <w:t>Consolidated Statements of Operations - for the years ended December 31, 2025, 2024 and 2023</w:t>
            </w:r>
          </w:p>
        </w:tc>
        <w:tc>
          <w:tcPr>
            <w:tcW w:w="1880" w:type="dxa"/>
            <w:vAlign w:val="bottom"/>
          </w:tcPr>
          <w:p>
            <w:pPr>
              <w:ind w:left="1580"/>
              <w:spacing w:after="0"/>
              <w:rPr>
                <w:sz w:val="20"/>
                <w:szCs w:val="20"/>
                <w:color w:val="auto"/>
              </w:rPr>
            </w:pPr>
            <w:r>
              <w:rPr>
                <w:rFonts w:ascii="Times New Roman" w:cs="Times New Roman" w:eastAsia="Times New Roman" w:hAnsi="Times New Roman"/>
                <w:sz w:val="15"/>
                <w:szCs w:val="15"/>
                <w:color w:val="0E32E1"/>
              </w:rPr>
              <w:t>F-2</w:t>
            </w:r>
          </w:p>
        </w:tc>
      </w:tr>
      <w:tr>
        <w:trPr>
          <w:trHeight w:val="206"/>
        </w:trPr>
        <w:tc>
          <w:tcPr>
            <w:tcW w:w="8780" w:type="dxa"/>
            <w:vAlign w:val="bottom"/>
          </w:tcPr>
          <w:p>
            <w:pPr>
              <w:spacing w:after="0"/>
              <w:rPr>
                <w:sz w:val="20"/>
                <w:szCs w:val="20"/>
                <w:color w:val="auto"/>
              </w:rPr>
            </w:pPr>
            <w:r>
              <w:rPr>
                <w:rFonts w:ascii="Times New Roman" w:cs="Times New Roman" w:eastAsia="Times New Roman" w:hAnsi="Times New Roman"/>
                <w:sz w:val="15"/>
                <w:szCs w:val="15"/>
                <w:color w:val="0000FF"/>
              </w:rPr>
              <w:t>Consolidated Statements of Comprehensive Income (Loss) - for the years ended December 31, 2025, 2024 and 2023</w:t>
            </w:r>
          </w:p>
        </w:tc>
        <w:tc>
          <w:tcPr>
            <w:tcW w:w="1880" w:type="dxa"/>
            <w:vAlign w:val="bottom"/>
          </w:tcPr>
          <w:p>
            <w:pPr>
              <w:ind w:left="1580"/>
              <w:spacing w:after="0"/>
              <w:rPr>
                <w:sz w:val="20"/>
                <w:szCs w:val="20"/>
                <w:color w:val="auto"/>
              </w:rPr>
            </w:pPr>
            <w:r>
              <w:rPr>
                <w:rFonts w:ascii="Times New Roman" w:cs="Times New Roman" w:eastAsia="Times New Roman" w:hAnsi="Times New Roman"/>
                <w:sz w:val="15"/>
                <w:szCs w:val="15"/>
                <w:color w:val="0E32E1"/>
              </w:rPr>
              <w:t>F-3</w:t>
            </w:r>
          </w:p>
        </w:tc>
      </w:tr>
      <w:tr>
        <w:trPr>
          <w:trHeight w:val="206"/>
        </w:trPr>
        <w:tc>
          <w:tcPr>
            <w:tcW w:w="8780" w:type="dxa"/>
            <w:vAlign w:val="bottom"/>
          </w:tcPr>
          <w:p>
            <w:pPr>
              <w:spacing w:after="0"/>
              <w:rPr>
                <w:sz w:val="20"/>
                <w:szCs w:val="20"/>
                <w:color w:val="auto"/>
              </w:rPr>
            </w:pPr>
            <w:r>
              <w:rPr>
                <w:rFonts w:ascii="Times New Roman" w:cs="Times New Roman" w:eastAsia="Times New Roman" w:hAnsi="Times New Roman"/>
                <w:sz w:val="15"/>
                <w:szCs w:val="15"/>
                <w:color w:val="0000FF"/>
              </w:rPr>
              <w:t>Consolidated Statements of Stockholders' Equity - for the years ended December 31, 2025, 2024 and 2023</w:t>
            </w:r>
          </w:p>
        </w:tc>
        <w:tc>
          <w:tcPr>
            <w:tcW w:w="1880" w:type="dxa"/>
            <w:vAlign w:val="bottom"/>
          </w:tcPr>
          <w:p>
            <w:pPr>
              <w:ind w:left="1580"/>
              <w:spacing w:after="0"/>
              <w:rPr>
                <w:sz w:val="20"/>
                <w:szCs w:val="20"/>
                <w:color w:val="auto"/>
              </w:rPr>
            </w:pPr>
            <w:r>
              <w:rPr>
                <w:rFonts w:ascii="Times New Roman" w:cs="Times New Roman" w:eastAsia="Times New Roman" w:hAnsi="Times New Roman"/>
                <w:sz w:val="15"/>
                <w:szCs w:val="15"/>
                <w:color w:val="0E32E1"/>
              </w:rPr>
              <w:t>F-4</w:t>
            </w:r>
          </w:p>
        </w:tc>
      </w:tr>
      <w:tr>
        <w:trPr>
          <w:trHeight w:val="206"/>
        </w:trPr>
        <w:tc>
          <w:tcPr>
            <w:tcW w:w="8780" w:type="dxa"/>
            <w:vAlign w:val="bottom"/>
          </w:tcPr>
          <w:p>
            <w:pPr>
              <w:spacing w:after="0"/>
              <w:rPr>
                <w:sz w:val="20"/>
                <w:szCs w:val="20"/>
                <w:color w:val="auto"/>
              </w:rPr>
            </w:pPr>
            <w:r>
              <w:rPr>
                <w:rFonts w:ascii="Times New Roman" w:cs="Times New Roman" w:eastAsia="Times New Roman" w:hAnsi="Times New Roman"/>
                <w:sz w:val="15"/>
                <w:szCs w:val="15"/>
                <w:color w:val="0000FF"/>
              </w:rPr>
              <w:t>Consolidated Statements of Cash Flows - for the years ended December 31, 2025, 2024 and 202</w:t>
            </w:r>
            <w:r>
              <w:rPr>
                <w:rFonts w:ascii="Times New Roman" w:cs="Times New Roman" w:eastAsia="Times New Roman" w:hAnsi="Times New Roman"/>
                <w:sz w:val="15"/>
                <w:szCs w:val="15"/>
                <w:color w:val="000000"/>
              </w:rPr>
              <w:t>3</w:t>
            </w:r>
          </w:p>
        </w:tc>
        <w:tc>
          <w:tcPr>
            <w:tcW w:w="1880" w:type="dxa"/>
            <w:vAlign w:val="bottom"/>
          </w:tcPr>
          <w:p>
            <w:pPr>
              <w:ind w:left="1580"/>
              <w:spacing w:after="0"/>
              <w:rPr>
                <w:sz w:val="20"/>
                <w:szCs w:val="20"/>
                <w:color w:val="auto"/>
              </w:rPr>
            </w:pPr>
            <w:r>
              <w:rPr>
                <w:rFonts w:ascii="Times New Roman" w:cs="Times New Roman" w:eastAsia="Times New Roman" w:hAnsi="Times New Roman"/>
                <w:sz w:val="15"/>
                <w:szCs w:val="15"/>
                <w:color w:val="0E32E1"/>
              </w:rPr>
              <w:t>F-5</w:t>
            </w:r>
          </w:p>
        </w:tc>
      </w:tr>
      <w:tr>
        <w:trPr>
          <w:trHeight w:val="206"/>
        </w:trPr>
        <w:tc>
          <w:tcPr>
            <w:tcW w:w="8780" w:type="dxa"/>
            <w:vAlign w:val="bottom"/>
          </w:tcPr>
          <w:p>
            <w:pPr>
              <w:spacing w:after="0"/>
              <w:rPr>
                <w:sz w:val="20"/>
                <w:szCs w:val="20"/>
                <w:color w:val="auto"/>
              </w:rPr>
            </w:pPr>
            <w:r>
              <w:rPr>
                <w:rFonts w:ascii="Times New Roman" w:cs="Times New Roman" w:eastAsia="Times New Roman" w:hAnsi="Times New Roman"/>
                <w:sz w:val="15"/>
                <w:szCs w:val="15"/>
                <w:color w:val="0000FF"/>
              </w:rPr>
              <w:t>Notes to Consolidated Financial Statements</w:t>
            </w:r>
          </w:p>
        </w:tc>
        <w:tc>
          <w:tcPr>
            <w:tcW w:w="1880" w:type="dxa"/>
            <w:vAlign w:val="bottom"/>
          </w:tcPr>
          <w:p>
            <w:pPr>
              <w:ind w:left="1580"/>
              <w:spacing w:after="0"/>
              <w:rPr>
                <w:sz w:val="20"/>
                <w:szCs w:val="20"/>
                <w:color w:val="auto"/>
              </w:rPr>
            </w:pPr>
            <w:r>
              <w:rPr>
                <w:rFonts w:ascii="Times New Roman" w:cs="Times New Roman" w:eastAsia="Times New Roman" w:hAnsi="Times New Roman"/>
                <w:sz w:val="15"/>
                <w:szCs w:val="15"/>
                <w:color w:val="0E32E1"/>
              </w:rPr>
              <w:t>F-6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7"/>
          <w:szCs w:val="17"/>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0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680"/>
          </w:cols>
          <w:pgMar w:left="320" w:top="120" w:right="899" w:bottom="1440" w:gutter="0" w:footer="0" w:header="0"/>
        </w:sectPr>
      </w:pPr>
    </w:p>
    <w:bookmarkStart w:id="50" w:name="page51"/>
    <w:bookmarkEnd w:id="50"/>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REPORT OF INDEPENDENT REGISTERED PUBLIC ACCOUNTING FIRM</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To the Stockholders and the Board of Directors of Surgery Partners, Inc.</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Opinion on the Financial Statements</w:t>
      </w:r>
    </w:p>
    <w:p>
      <w:pPr>
        <w:spacing w:after="0" w:line="51"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5"/>
          <w:szCs w:val="15"/>
          <w:color w:val="auto"/>
        </w:rPr>
        <w:t>We have audited the accompanying consolidated balance sheets of Surgery Partners, Inc. (the Company) as of December 31, 2025 and 2024, the related consolidated statements of operations, comprehensive income (loss), stockholders’ equity and cash flows for each of the two years in the period ended December 31, 2025, and the related notes (collectively referred to as the “consolidated financial statements”). In our opinion, the consolidated financial statements present fairly, in all material respects, the financial position of the Company at December 31, 2025 and 2024, and the results of its operations and its cash flows for each of the two years in the period ended December 31, 2025, in conformity with U.S. generally accepted accounting principles.</w:t>
      </w:r>
    </w:p>
    <w:p>
      <w:pPr>
        <w:spacing w:after="0" w:line="202"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5"/>
          <w:szCs w:val="15"/>
          <w:color w:val="auto"/>
        </w:rPr>
        <w:t xml:space="preserve">We also audited the disclosure of significant expenses and other segment items in Note 14 that have been disclosed for 2023 due to the adoption of ASU 2023-07, Segment Reporting (Topic 280), </w:t>
      </w:r>
      <w:r>
        <w:rPr>
          <w:rFonts w:ascii="Times New Roman" w:cs="Times New Roman" w:eastAsia="Times New Roman" w:hAnsi="Times New Roman"/>
          <w:sz w:val="15"/>
          <w:szCs w:val="15"/>
          <w:i w:val="1"/>
          <w:iCs w:val="1"/>
          <w:color w:val="auto"/>
        </w:rPr>
        <w:t>Improvements to Reportable Segment Disclosures</w:t>
      </w:r>
      <w:r>
        <w:rPr>
          <w:rFonts w:ascii="Times New Roman" w:cs="Times New Roman" w:eastAsia="Times New Roman" w:hAnsi="Times New Roman"/>
          <w:sz w:val="15"/>
          <w:szCs w:val="15"/>
          <w:color w:val="auto"/>
        </w:rPr>
        <w:t>, and the recast of the segment disclosures in Note 14 to reflect one reportable segment. In our opinion, such disclosures are appropriate. However, we were not engaged to audit, review, or apply any procedures to the 2023 consolidated financial statements of the Company other than with respect to these disclosures and, accordingly, we do not express an opinion or any other form of assurance on the 2023 consolidated financial statements taken as a whole.</w:t>
      </w:r>
    </w:p>
    <w:p>
      <w:pPr>
        <w:spacing w:after="0" w:line="202"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5"/>
          <w:szCs w:val="15"/>
          <w:color w:val="auto"/>
        </w:rPr>
        <w:t>We also have audited, in accordance with the standards of the Public Company Accounting Oversight Board (United States) (PCAOB), the Company’s internal control over financial reporting as of December 31, 2025, based on criteria established in Internal Control—Integrated Framework issued by the Committee of Sponsoring Organizations of the Treadway Commission (2013 framework), and our report dated March 2, 2026 expressed an unqualified opinion thereon.</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Basis for Opinion</w:t>
      </w:r>
    </w:p>
    <w:p>
      <w:pPr>
        <w:spacing w:after="0" w:line="51" w:lineRule="exact"/>
        <w:rPr>
          <w:sz w:val="20"/>
          <w:szCs w:val="20"/>
          <w:color w:val="auto"/>
        </w:rPr>
      </w:pPr>
    </w:p>
    <w:p>
      <w:pPr>
        <w:ind w:right="220"/>
        <w:spacing w:after="0" w:line="270" w:lineRule="auto"/>
        <w:rPr>
          <w:sz w:val="20"/>
          <w:szCs w:val="20"/>
          <w:color w:val="auto"/>
        </w:rPr>
      </w:pPr>
      <w:r>
        <w:rPr>
          <w:rFonts w:ascii="Times New Roman" w:cs="Times New Roman" w:eastAsia="Times New Roman" w:hAnsi="Times New Roman"/>
          <w:sz w:val="15"/>
          <w:szCs w:val="15"/>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8"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5"/>
          <w:szCs w:val="15"/>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0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15"/>
          <w:szCs w:val="15"/>
          <w:b w:val="1"/>
          <w:bCs w:val="1"/>
          <w:color w:val="auto"/>
        </w:rPr>
        <w:t>Critical Audit Matter</w:t>
      </w:r>
    </w:p>
    <w:p>
      <w:pPr>
        <w:spacing w:after="0" w:line="244"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5"/>
          <w:szCs w:val="15"/>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w:t>
      </w:r>
      <w:r>
        <w:rPr>
          <w:sz w:val="1"/>
          <w:szCs w:val="1"/>
          <w:color w:val="auto"/>
        </w:rPr>
        <w:drawing>
          <wp:inline distT="0" distB="0" distL="0" distR="0">
            <wp:extent cx="16510" cy="73660"/>
            <wp:effectExtent l="0" t="0" r="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06">
                      <a:extLst>
                        <a:ext uri="{28A0092B-C50C-407E-A947-70E740481C1C}"/>
                      </a:extLst>
                    </a:blip>
                    <a:srcRect/>
                    <a:stretch>
                      <a:fillRect/>
                    </a:stretch>
                  </pic:blipFill>
                  <pic:spPr bwMode="auto">
                    <a:xfrm>
                      <a:off x="0" y="0"/>
                      <a:ext cx="16510" cy="73660"/>
                    </a:xfrm>
                    <a:prstGeom prst="rect">
                      <a:avLst/>
                    </a:prstGeom>
                    <a:noFill/>
                    <a:ln>
                      <a:noFill/>
                    </a:ln>
                  </pic:spPr>
                </pic:pic>
              </a:graphicData>
            </a:graphic>
          </wp:inline>
        </w:drawing>
      </w:r>
      <w:r>
        <w:rPr>
          <w:rFonts w:ascii="Times New Roman" w:cs="Times New Roman" w:eastAsia="Times New Roman" w:hAnsi="Times New Roman"/>
          <w:sz w:val="15"/>
          <w:szCs w:val="15"/>
          <w:color w:val="auto"/>
        </w:rPr>
        <w:t>financial statements, taken as a whole, and we are not, by communicating the critical audit matter below, providing a separate opinion on the critical audit matter or on the account or disclosure to which it relates.</w:t>
      </w:r>
    </w:p>
    <w:p>
      <w:pPr>
        <w:spacing w:after="0" w:line="250"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5"/>
          <w:szCs w:val="15"/>
          <w:b w:val="1"/>
          <w:bCs w:val="1"/>
          <w:i w:val="1"/>
          <w:iCs w:val="1"/>
          <w:color w:val="auto"/>
        </w:rPr>
        <w:t>Revenue Recognition – Contractual Allowances and Implicit Price Concessions</w:t>
      </w:r>
    </w:p>
    <w:p>
      <w:pPr>
        <w:sectPr>
          <w:pgSz w:w="11900" w:h="16838" w:orient="portrait"/>
          <w:cols w:equalWidth="0" w:num="1">
            <w:col w:w="11180"/>
          </w:cols>
          <w:pgMar w:left="320" w:top="1348" w:right="399" w:bottom="1440" w:gutter="0" w:footer="0" w:header="0"/>
        </w:sectPr>
      </w:pPr>
    </w:p>
    <w:p>
      <w:pPr>
        <w:spacing w:after="0" w:line="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i w:val="1"/>
          <w:iCs w:val="1"/>
          <w:color w:val="auto"/>
        </w:rPr>
        <w:t>Description of the</w:t>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For the year ended December 31, 2025, the Company’s revenues were $3.3 billion. As more fully described in Note 1 to the consolidated financial</w:t>
      </w:r>
    </w:p>
    <w:p>
      <w:pPr>
        <w:spacing w:after="0" w:line="22" w:lineRule="exact"/>
        <w:rPr>
          <w:sz w:val="20"/>
          <w:szCs w:val="20"/>
          <w:color w:val="auto"/>
        </w:rPr>
      </w:pPr>
    </w:p>
    <w:p>
      <w:pPr>
        <w:sectPr>
          <w:pgSz w:w="11900" w:h="16838" w:orient="portrait"/>
          <w:cols w:equalWidth="0" w:num="2">
            <w:col w:w="1140" w:space="720"/>
            <w:col w:w="9320"/>
          </w:cols>
          <w:pgMar w:left="320" w:top="1348" w:right="39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5"/>
          <w:szCs w:val="15"/>
          <w:i w:val="1"/>
          <w:iCs w:val="1"/>
          <w:color w:val="auto"/>
        </w:rPr>
        <w:t>Matter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5"/>
          <w:szCs w:val="15"/>
          <w:color w:val="auto"/>
        </w:rPr>
        <w:t>statements, the transaction price for revenues is determined based on gross charges for services provided, net of estimated contractual allowances and</w:t>
      </w:r>
    </w:p>
    <w:p>
      <w:pPr>
        <w:spacing w:after="0" w:line="8" w:lineRule="exact"/>
        <w:rPr>
          <w:sz w:val="20"/>
          <w:szCs w:val="20"/>
          <w:color w:val="auto"/>
        </w:rPr>
      </w:pPr>
    </w:p>
    <w:p>
      <w:pPr>
        <w:sectPr>
          <w:pgSz w:w="11900" w:h="16838" w:orient="portrait"/>
          <w:cols w:equalWidth="0" w:num="2">
            <w:col w:w="1140" w:space="720"/>
            <w:col w:w="9320"/>
          </w:cols>
          <w:pgMar w:left="320" w:top="1348" w:right="399" w:bottom="1440" w:gutter="0" w:footer="0" w:header="0"/>
          <w:type w:val="continuous"/>
        </w:sectPr>
      </w:pPr>
    </w:p>
    <w:p>
      <w:pPr>
        <w:ind w:left="1860" w:right="20"/>
        <w:spacing w:after="0" w:line="244" w:lineRule="auto"/>
        <w:rPr>
          <w:sz w:val="20"/>
          <w:szCs w:val="20"/>
          <w:color w:val="auto"/>
        </w:rPr>
      </w:pPr>
      <w:r>
        <w:rPr>
          <w:rFonts w:ascii="Times New Roman" w:cs="Times New Roman" w:eastAsia="Times New Roman" w:hAnsi="Times New Roman"/>
          <w:sz w:val="15"/>
          <w:szCs w:val="15"/>
          <w:color w:val="auto"/>
        </w:rPr>
        <w:t>implicit price concessions (“price concessions”). Estimated price concessions are recognized at the time of services being performed and are generally based on historical experience of cash collections and write-offs for surgical hospitals.</w:t>
      </w:r>
    </w:p>
    <w:p>
      <w:pPr>
        <w:spacing w:after="0" w:line="210" w:lineRule="exact"/>
        <w:rPr>
          <w:sz w:val="20"/>
          <w:szCs w:val="20"/>
          <w:color w:val="auto"/>
        </w:rPr>
      </w:pPr>
    </w:p>
    <w:p>
      <w:pPr>
        <w:ind w:left="1860" w:right="400"/>
        <w:spacing w:after="0" w:line="289" w:lineRule="auto"/>
        <w:rPr>
          <w:sz w:val="20"/>
          <w:szCs w:val="20"/>
          <w:color w:val="auto"/>
        </w:rPr>
      </w:pPr>
      <w:r>
        <w:rPr>
          <w:rFonts w:ascii="Times New Roman" w:cs="Times New Roman" w:eastAsia="Times New Roman" w:hAnsi="Times New Roman"/>
          <w:sz w:val="15"/>
          <w:szCs w:val="15"/>
          <w:color w:val="auto"/>
        </w:rPr>
        <w:t>Auditing management’s estimate of surgical hospitals' price concessions was highly judgmental due to the significant data inputs and estimation uncertainty present in determining related amounts.</w:t>
      </w:r>
    </w:p>
    <w:p>
      <w:pPr>
        <w:sectPr>
          <w:pgSz w:w="11900" w:h="16838" w:orient="portrait"/>
          <w:cols w:equalWidth="0" w:num="1">
            <w:col w:w="11180"/>
          </w:cols>
          <w:pgMar w:left="320" w:top="1348" w:right="399" w:bottom="1440" w:gutter="0" w:footer="0" w:header="0"/>
          <w:type w:val="continuous"/>
        </w:sectPr>
      </w:pPr>
    </w:p>
    <w:p>
      <w:pPr>
        <w:spacing w:after="0" w:line="200" w:lineRule="exact"/>
        <w:rPr>
          <w:sz w:val="20"/>
          <w:szCs w:val="20"/>
          <w:color w:val="auto"/>
        </w:rPr>
      </w:pPr>
    </w:p>
    <w:p>
      <w:pPr>
        <w:spacing w:after="0" w:line="2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i w:val="1"/>
          <w:iCs w:val="1"/>
          <w:color w:val="auto"/>
        </w:rPr>
        <w:t>How We Addressed the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We obtained an understanding, evaluated the design and tested the operating effectiveness of controls over the price concessions process for surgical</w:t>
      </w:r>
    </w:p>
    <w:p>
      <w:pPr>
        <w:spacing w:after="0" w:line="22" w:lineRule="exact"/>
        <w:rPr>
          <w:sz w:val="20"/>
          <w:szCs w:val="20"/>
          <w:color w:val="auto"/>
        </w:rPr>
      </w:pPr>
    </w:p>
    <w:p>
      <w:pPr>
        <w:sectPr>
          <w:pgSz w:w="11900" w:h="16838" w:orient="portrait"/>
          <w:cols w:equalWidth="0" w:num="2">
            <w:col w:w="1440" w:space="420"/>
            <w:col w:w="9320"/>
          </w:cols>
          <w:pgMar w:left="320" w:top="1348" w:right="39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5"/>
          <w:szCs w:val="15"/>
          <w:i w:val="1"/>
          <w:iCs w:val="1"/>
          <w:color w:val="auto"/>
        </w:rPr>
        <w:t>Matter in Our Audit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5"/>
          <w:szCs w:val="15"/>
          <w:color w:val="auto"/>
        </w:rPr>
        <w:t>hospitals, including controls over the review of estimated price concessions and the verification of the accuracy and completeness of the data used in</w:t>
      </w:r>
    </w:p>
    <w:p>
      <w:pPr>
        <w:spacing w:after="0" w:line="8" w:lineRule="exact"/>
        <w:rPr>
          <w:sz w:val="20"/>
          <w:szCs w:val="20"/>
          <w:color w:val="auto"/>
        </w:rPr>
      </w:pPr>
    </w:p>
    <w:p>
      <w:pPr>
        <w:sectPr>
          <w:pgSz w:w="11900" w:h="16838" w:orient="portrait"/>
          <w:cols w:equalWidth="0" w:num="2">
            <w:col w:w="1260" w:space="600"/>
            <w:col w:w="9320"/>
          </w:cols>
          <w:pgMar w:left="320" w:top="1348" w:right="399" w:bottom="1440" w:gutter="0" w:footer="0" w:header="0"/>
          <w:type w:val="continuous"/>
        </w:sectPr>
      </w:pPr>
    </w:p>
    <w:p>
      <w:pPr>
        <w:ind w:left="1860"/>
        <w:spacing w:after="0"/>
        <w:rPr>
          <w:sz w:val="20"/>
          <w:szCs w:val="20"/>
          <w:color w:val="auto"/>
        </w:rPr>
      </w:pPr>
      <w:r>
        <w:rPr>
          <w:rFonts w:ascii="Times New Roman" w:cs="Times New Roman" w:eastAsia="Times New Roman" w:hAnsi="Times New Roman"/>
          <w:sz w:val="15"/>
          <w:szCs w:val="15"/>
          <w:color w:val="auto"/>
        </w:rPr>
        <w:t>the assessment.</w:t>
      </w:r>
    </w:p>
    <w:p>
      <w:pPr>
        <w:spacing w:after="0" w:line="208" w:lineRule="exact"/>
        <w:rPr>
          <w:sz w:val="20"/>
          <w:szCs w:val="20"/>
          <w:color w:val="auto"/>
        </w:rPr>
      </w:pPr>
    </w:p>
    <w:p>
      <w:pPr>
        <w:ind w:left="1860"/>
        <w:spacing w:after="0" w:line="256" w:lineRule="auto"/>
        <w:rPr>
          <w:sz w:val="20"/>
          <w:szCs w:val="20"/>
          <w:color w:val="auto"/>
        </w:rPr>
      </w:pPr>
      <w:r>
        <w:rPr>
          <w:rFonts w:ascii="Times New Roman" w:cs="Times New Roman" w:eastAsia="Times New Roman" w:hAnsi="Times New Roman"/>
          <w:sz w:val="15"/>
          <w:szCs w:val="15"/>
          <w:color w:val="auto"/>
        </w:rPr>
        <w:t>To test the adequacy of the estimated price concessions for surgical hospitals, our audit procedures included, among others, recalculating management’s model and assessing whether the recorded estimate was in accordance with their policy. We developed an independent estimate of price concessions using historical collections by payor and location and compared the independent estimate to the price concession estimate developed by management. For our independent estimate, we tested the underlying data related to the recognition of patient level charges and the subsequent</w:t>
      </w:r>
    </w:p>
    <w:p>
      <w:pPr>
        <w:spacing w:after="0" w:line="2" w:lineRule="exact"/>
        <w:rPr>
          <w:sz w:val="20"/>
          <w:szCs w:val="20"/>
          <w:color w:val="auto"/>
        </w:rPr>
      </w:pPr>
    </w:p>
    <w:p>
      <w:pPr>
        <w:ind w:left="1860" w:right="160"/>
        <w:spacing w:after="0" w:line="242" w:lineRule="auto"/>
        <w:rPr>
          <w:sz w:val="20"/>
          <w:szCs w:val="20"/>
          <w:color w:val="auto"/>
        </w:rPr>
      </w:pPr>
      <w:r>
        <w:rPr>
          <w:rFonts w:ascii="Times New Roman" w:cs="Times New Roman" w:eastAsia="Times New Roman" w:hAnsi="Times New Roman"/>
          <w:sz w:val="15"/>
          <w:szCs w:val="15"/>
          <w:color w:val="auto"/>
        </w:rPr>
        <w:t>activities, including cash collections and write-offs. We assessed the historical accuracy of management’s estimated price concessions as a source of potential corroborative or contrary evidence. We also considered industry, economic, and company factors to determine the appropriateness of the</w:t>
      </w:r>
    </w:p>
    <w:p>
      <w:pPr>
        <w:ind w:left="1860"/>
        <w:spacing w:after="0"/>
        <w:rPr>
          <w:sz w:val="20"/>
          <w:szCs w:val="20"/>
          <w:color w:val="auto"/>
        </w:rPr>
      </w:pPr>
      <w:r>
        <w:rPr>
          <w:rFonts w:ascii="Times New Roman" w:cs="Times New Roman" w:eastAsia="Times New Roman" w:hAnsi="Times New Roman"/>
          <w:sz w:val="15"/>
          <w:szCs w:val="15"/>
          <w:color w:val="auto"/>
        </w:rPr>
        <w:t>price concessions.</w:t>
      </w:r>
    </w:p>
    <w:p>
      <w:pPr>
        <w:sectPr>
          <w:pgSz w:w="11900" w:h="16838" w:orient="portrait"/>
          <w:cols w:equalWidth="0" w:num="1">
            <w:col w:w="11180"/>
          </w:cols>
          <w:pgMar w:left="320" w:top="1348" w:right="399" w:bottom="1440" w:gutter="0" w:footer="0" w:header="0"/>
          <w:type w:val="continuous"/>
        </w:sect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 Ernst &amp; Young LLP</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We have served as the Company’s auditor since 2024.</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Nashville, Tennessee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March 2,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0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80"/>
          </w:cols>
          <w:pgMar w:left="320" w:top="1348" w:right="399" w:bottom="1440" w:gutter="0" w:footer="0" w:header="0"/>
          <w:type w:val="continuous"/>
        </w:sectPr>
      </w:pPr>
    </w:p>
    <w:bookmarkStart w:id="52" w:name="page53"/>
    <w:bookmarkEnd w:id="52"/>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REPORT OF INDEPENDENT REGISTERED PUBLIC ACCOUNTING FIRM</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To the shareholders and the Board of Directors of Surgery Partners, Inc.</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Opinion on the Financial Statements</w:t>
      </w:r>
    </w:p>
    <w:p>
      <w:pPr>
        <w:spacing w:after="0" w:line="5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5"/>
          <w:szCs w:val="15"/>
          <w:color w:val="auto"/>
        </w:rPr>
        <w:t xml:space="preserve">We have audited, before the effects of the retrospective adjustments to the disclosure of significant expenses and other segment items in Note 14 to the consolidated financial statements that have been disclosed for 2023 due to the adoption of ASU 2023-07, Segment Reporting (Topic 280), </w:t>
      </w:r>
      <w:r>
        <w:rPr>
          <w:rFonts w:ascii="Times New Roman" w:cs="Times New Roman" w:eastAsia="Times New Roman" w:hAnsi="Times New Roman"/>
          <w:sz w:val="15"/>
          <w:szCs w:val="15"/>
          <w:i w:val="1"/>
          <w:iCs w:val="1"/>
          <w:color w:val="auto"/>
        </w:rPr>
        <w:t>Improvements to Reportable Segment Disclosures</w:t>
      </w:r>
      <w:r>
        <w:rPr>
          <w:rFonts w:ascii="Times New Roman" w:cs="Times New Roman" w:eastAsia="Times New Roman" w:hAnsi="Times New Roman"/>
          <w:sz w:val="15"/>
          <w:szCs w:val="15"/>
          <w:color w:val="auto"/>
        </w:rPr>
        <w:t>, and the recast of the segment disclosures in Note 14 to reflect one reportable segment, the accompanying consolidated statements of operations, comprehensive income (loss), stockholders' equity, and cash flows, for the year ended December 31, 2023 and the related notes (collectively referred to as the "financial statements") (the 2023 financial statements before the effects of the retrospective adjustments to the disclosure of significant expenses and other segment items and the recast of the segment disclosures to reflect one reportable segment in Note 14 to the financial statements are not presented herein) of Surgery Partners, Inc. and subsidiaries (the "Company"). In our opinion, the 2023 financial statements, before the effects of the retrospective adjustments to the disclosure of significant expenses and other segment items and the recast of the segment disclosures to reflect one reportable segment in Note 14 to the financial statements, present fairly, in all material respects, the results of its operations and its cash flows for the year ended December 31, 2023, in conformity with accounting principles generally accepted in the United States of America</w:t>
      </w:r>
      <w:r>
        <w:rPr>
          <w:rFonts w:ascii="Times New Roman" w:cs="Times New Roman" w:eastAsia="Times New Roman" w:hAnsi="Times New Roman"/>
          <w:sz w:val="15"/>
          <w:szCs w:val="15"/>
          <w:i w:val="1"/>
          <w:iCs w:val="1"/>
          <w:color w:val="auto"/>
        </w:rPr>
        <w:t>.</w:t>
      </w:r>
    </w:p>
    <w:p>
      <w:pPr>
        <w:spacing w:after="0" w:line="207" w:lineRule="exact"/>
        <w:rPr>
          <w:sz w:val="20"/>
          <w:szCs w:val="20"/>
          <w:color w:val="auto"/>
        </w:rPr>
      </w:pPr>
    </w:p>
    <w:p>
      <w:pPr>
        <w:ind w:right="220"/>
        <w:spacing w:after="0" w:line="270" w:lineRule="auto"/>
        <w:rPr>
          <w:sz w:val="20"/>
          <w:szCs w:val="20"/>
          <w:color w:val="auto"/>
        </w:rPr>
      </w:pPr>
      <w:r>
        <w:rPr>
          <w:rFonts w:ascii="Times New Roman" w:cs="Times New Roman" w:eastAsia="Times New Roman" w:hAnsi="Times New Roman"/>
          <w:sz w:val="15"/>
          <w:szCs w:val="15"/>
          <w:color w:val="auto"/>
        </w:rPr>
        <w:t>We were not engaged to audit, review, or apply any procedures to the disclosure of significant expenses and other segment items or the recast of the segment disclosures to reflect one reportable segment in Note 14 to the financial statements, and accordingly, we do not express an opinion or any other form of assurance about whether such retrospective adjustments are appropriate and have been properly applied. Those retrospective adjustments were audited by the successor auditor.</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Basis for Opinion</w:t>
      </w:r>
    </w:p>
    <w:p>
      <w:pPr>
        <w:spacing w:after="0" w:line="51"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5"/>
          <w:szCs w:val="15"/>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8"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5"/>
          <w:szCs w:val="15"/>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 Deloitte &amp; Touche LLP</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Nashville, Tennessee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February 26, 2024</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We began serving as the Company’s auditor in 2018. In 2024 we became the predecessor auditor.</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0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2"/>
          <w:szCs w:val="12"/>
          <w:b w:val="1"/>
          <w:bCs w:val="1"/>
          <w:u w:val="single" w:color="auto"/>
          <w:color w:val="0000FF"/>
        </w:rPr>
        <w:t>Table of Contents</w:t>
      </w:r>
    </w:p>
    <w:p>
      <w:pPr>
        <w:spacing w:after="0" w:line="1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SURGERY PARTNERS, INC.</w:t>
      </w:r>
    </w:p>
    <w:p>
      <w:pPr>
        <w:spacing w:after="0" w:line="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CONSOLIDATED BALANCE SHEETS</w:t>
      </w:r>
    </w:p>
    <w:p>
      <w:pPr>
        <w:spacing w:after="0" w:line="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240" w:type="dxa"/>
        <w:tblCellMar>
          <w:top w:w="0" w:type="dxa"/>
          <w:left w:w="0" w:type="dxa"/>
          <w:bottom w:w="0" w:type="dxa"/>
          <w:right w:w="0" w:type="dxa"/>
        </w:tblCellMar>
      </w:tblPr>
      <w:tr>
        <w:trPr>
          <w:trHeight w:val="182"/>
        </w:trPr>
        <w:tc>
          <w:tcPr>
            <w:tcW w:w="8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20" w:type="dxa"/>
            <w:vAlign w:val="bottom"/>
            <w:gridSpan w:val="3"/>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8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812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79"/>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7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8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7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81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780" w:type="dxa"/>
            <w:vAlign w:val="bottom"/>
            <w:shd w:val="clear" w:color="auto" w:fill="CCEEFF"/>
          </w:tcPr>
          <w:p>
            <w:pPr>
              <w:jc w:val="right"/>
              <w:ind w:right="631"/>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239.9</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269.5</w:t>
            </w:r>
          </w:p>
        </w:tc>
        <w:tc>
          <w:tcPr>
            <w:tcW w:w="0" w:type="dxa"/>
            <w:vAlign w:val="bottom"/>
          </w:tcPr>
          <w:p>
            <w:pPr>
              <w:spacing w:after="0"/>
              <w:rPr>
                <w:sz w:val="1"/>
                <w:szCs w:val="1"/>
                <w:color w:val="auto"/>
              </w:rPr>
            </w:pPr>
          </w:p>
        </w:tc>
      </w:tr>
      <w:tr>
        <w:trPr>
          <w:trHeight w:val="186"/>
        </w:trPr>
        <w:tc>
          <w:tcPr>
            <w:tcW w:w="81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Accounts receivable</w:t>
            </w:r>
          </w:p>
        </w:tc>
        <w:tc>
          <w:tcPr>
            <w:tcW w:w="7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602.2</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579.1</w:t>
            </w:r>
          </w:p>
        </w:tc>
        <w:tc>
          <w:tcPr>
            <w:tcW w:w="0" w:type="dxa"/>
            <w:vAlign w:val="bottom"/>
          </w:tcPr>
          <w:p>
            <w:pPr>
              <w:spacing w:after="0"/>
              <w:rPr>
                <w:sz w:val="1"/>
                <w:szCs w:val="1"/>
                <w:color w:val="auto"/>
              </w:rPr>
            </w:pPr>
          </w:p>
        </w:tc>
      </w:tr>
      <w:tr>
        <w:trPr>
          <w:trHeight w:val="201"/>
        </w:trPr>
        <w:tc>
          <w:tcPr>
            <w:tcW w:w="81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Inventories</w:t>
            </w:r>
          </w:p>
        </w:tc>
        <w:tc>
          <w:tcPr>
            <w:tcW w:w="78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96.6</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88.4</w:t>
            </w:r>
          </w:p>
        </w:tc>
        <w:tc>
          <w:tcPr>
            <w:tcW w:w="0" w:type="dxa"/>
            <w:vAlign w:val="bottom"/>
          </w:tcPr>
          <w:p>
            <w:pPr>
              <w:spacing w:after="0"/>
              <w:rPr>
                <w:sz w:val="1"/>
                <w:szCs w:val="1"/>
                <w:color w:val="auto"/>
              </w:rPr>
            </w:pPr>
          </w:p>
        </w:tc>
      </w:tr>
      <w:tr>
        <w:trPr>
          <w:trHeight w:val="186"/>
        </w:trPr>
        <w:tc>
          <w:tcPr>
            <w:tcW w:w="81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Prepaid expenses</w:t>
            </w:r>
          </w:p>
        </w:tc>
        <w:tc>
          <w:tcPr>
            <w:tcW w:w="7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41.1</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36.4</w:t>
            </w:r>
          </w:p>
        </w:tc>
        <w:tc>
          <w:tcPr>
            <w:tcW w:w="0" w:type="dxa"/>
            <w:vAlign w:val="bottom"/>
          </w:tcPr>
          <w:p>
            <w:pPr>
              <w:spacing w:after="0"/>
              <w:rPr>
                <w:sz w:val="1"/>
                <w:szCs w:val="1"/>
                <w:color w:val="auto"/>
              </w:rPr>
            </w:pPr>
          </w:p>
        </w:tc>
      </w:tr>
      <w:tr>
        <w:trPr>
          <w:trHeight w:val="201"/>
        </w:trPr>
        <w:tc>
          <w:tcPr>
            <w:tcW w:w="81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Other current assets</w:t>
            </w:r>
          </w:p>
        </w:tc>
        <w:tc>
          <w:tcPr>
            <w:tcW w:w="78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170.9</w:t>
            </w:r>
          </w:p>
        </w:tc>
        <w:tc>
          <w:tcPr>
            <w:tcW w:w="12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146.0</w:t>
            </w:r>
          </w:p>
        </w:tc>
        <w:tc>
          <w:tcPr>
            <w:tcW w:w="0" w:type="dxa"/>
            <w:vAlign w:val="bottom"/>
          </w:tcPr>
          <w:p>
            <w:pPr>
              <w:spacing w:after="0"/>
              <w:rPr>
                <w:sz w:val="1"/>
                <w:szCs w:val="1"/>
                <w:color w:val="auto"/>
              </w:rPr>
            </w:pPr>
          </w:p>
        </w:tc>
      </w:tr>
      <w:tr>
        <w:trPr>
          <w:trHeight w:val="179"/>
        </w:trPr>
        <w:tc>
          <w:tcPr>
            <w:tcW w:w="81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Total current assets</w:t>
            </w:r>
          </w:p>
        </w:tc>
        <w:tc>
          <w:tcPr>
            <w:tcW w:w="7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5"/>
              </w:rPr>
              <w:t>1,150.7</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1,119.4</w:t>
            </w:r>
          </w:p>
        </w:tc>
        <w:tc>
          <w:tcPr>
            <w:tcW w:w="0" w:type="dxa"/>
            <w:vAlign w:val="bottom"/>
          </w:tcPr>
          <w:p>
            <w:pPr>
              <w:spacing w:after="0"/>
              <w:rPr>
                <w:sz w:val="1"/>
                <w:szCs w:val="1"/>
                <w:color w:val="auto"/>
              </w:rPr>
            </w:pPr>
          </w:p>
        </w:tc>
      </w:tr>
      <w:tr>
        <w:trPr>
          <w:trHeight w:val="201"/>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78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1,153.4</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1,088.3</w:t>
            </w:r>
          </w:p>
        </w:tc>
        <w:tc>
          <w:tcPr>
            <w:tcW w:w="0" w:type="dxa"/>
            <w:vAlign w:val="bottom"/>
          </w:tcPr>
          <w:p>
            <w:pPr>
              <w:spacing w:after="0"/>
              <w:rPr>
                <w:sz w:val="1"/>
                <w:szCs w:val="1"/>
                <w:color w:val="auto"/>
              </w:rPr>
            </w:pPr>
          </w:p>
        </w:tc>
      </w:tr>
      <w:tr>
        <w:trPr>
          <w:trHeight w:val="186"/>
        </w:trPr>
        <w:tc>
          <w:tcPr>
            <w:tcW w:w="8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Intangible assets, net</w:t>
            </w:r>
          </w:p>
        </w:tc>
        <w:tc>
          <w:tcPr>
            <w:tcW w:w="7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41.0</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45.7</w:t>
            </w:r>
          </w:p>
        </w:tc>
        <w:tc>
          <w:tcPr>
            <w:tcW w:w="0" w:type="dxa"/>
            <w:vAlign w:val="bottom"/>
          </w:tcPr>
          <w:p>
            <w:pPr>
              <w:spacing w:after="0"/>
              <w:rPr>
                <w:sz w:val="1"/>
                <w:szCs w:val="1"/>
                <w:color w:val="auto"/>
              </w:rPr>
            </w:pPr>
          </w:p>
        </w:tc>
      </w:tr>
      <w:tr>
        <w:trPr>
          <w:trHeight w:val="201"/>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78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5,194.6</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5,068.0</w:t>
            </w:r>
          </w:p>
        </w:tc>
        <w:tc>
          <w:tcPr>
            <w:tcW w:w="0" w:type="dxa"/>
            <w:vAlign w:val="bottom"/>
          </w:tcPr>
          <w:p>
            <w:pPr>
              <w:spacing w:after="0"/>
              <w:rPr>
                <w:sz w:val="1"/>
                <w:szCs w:val="1"/>
                <w:color w:val="auto"/>
              </w:rPr>
            </w:pPr>
          </w:p>
        </w:tc>
      </w:tr>
      <w:tr>
        <w:trPr>
          <w:trHeight w:val="186"/>
        </w:trPr>
        <w:tc>
          <w:tcPr>
            <w:tcW w:w="8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Investments in and advances to affiliates</w:t>
            </w:r>
          </w:p>
        </w:tc>
        <w:tc>
          <w:tcPr>
            <w:tcW w:w="7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234.0</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215.4</w:t>
            </w:r>
          </w:p>
        </w:tc>
        <w:tc>
          <w:tcPr>
            <w:tcW w:w="0" w:type="dxa"/>
            <w:vAlign w:val="bottom"/>
          </w:tcPr>
          <w:p>
            <w:pPr>
              <w:spacing w:after="0"/>
              <w:rPr>
                <w:sz w:val="1"/>
                <w:szCs w:val="1"/>
                <w:color w:val="auto"/>
              </w:rPr>
            </w:pPr>
          </w:p>
        </w:tc>
      </w:tr>
      <w:tr>
        <w:trPr>
          <w:trHeight w:val="201"/>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Right-of-use operating lease assets</w:t>
            </w:r>
          </w:p>
        </w:tc>
        <w:tc>
          <w:tcPr>
            <w:tcW w:w="78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289.2</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295.7</w:t>
            </w:r>
          </w:p>
        </w:tc>
        <w:tc>
          <w:tcPr>
            <w:tcW w:w="0" w:type="dxa"/>
            <w:vAlign w:val="bottom"/>
          </w:tcPr>
          <w:p>
            <w:pPr>
              <w:spacing w:after="0"/>
              <w:rPr>
                <w:sz w:val="1"/>
                <w:szCs w:val="1"/>
                <w:color w:val="auto"/>
              </w:rPr>
            </w:pPr>
          </w:p>
        </w:tc>
      </w:tr>
      <w:tr>
        <w:trPr>
          <w:trHeight w:val="186"/>
        </w:trPr>
        <w:tc>
          <w:tcPr>
            <w:tcW w:w="8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long-term assets</w:t>
            </w:r>
          </w:p>
        </w:tc>
        <w:tc>
          <w:tcPr>
            <w:tcW w:w="7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56.8</w:t>
            </w: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57.5</w:t>
            </w:r>
          </w:p>
        </w:tc>
        <w:tc>
          <w:tcPr>
            <w:tcW w:w="0" w:type="dxa"/>
            <w:vAlign w:val="bottom"/>
          </w:tcPr>
          <w:p>
            <w:pPr>
              <w:spacing w:after="0"/>
              <w:rPr>
                <w:sz w:val="1"/>
                <w:szCs w:val="1"/>
                <w:color w:val="auto"/>
              </w:rPr>
            </w:pPr>
          </w:p>
        </w:tc>
      </w:tr>
      <w:tr>
        <w:trPr>
          <w:trHeight w:val="218"/>
        </w:trPr>
        <w:tc>
          <w:tcPr>
            <w:tcW w:w="812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Total assets</w:t>
            </w:r>
          </w:p>
        </w:tc>
        <w:tc>
          <w:tcPr>
            <w:tcW w:w="780" w:type="dxa"/>
            <w:vAlign w:val="bottom"/>
            <w:tcBorders>
              <w:bottom w:val="single" w:sz="8" w:color="auto"/>
            </w:tcBorders>
            <w:shd w:val="clear" w:color="auto" w:fill="CCEEFF"/>
          </w:tcPr>
          <w:p>
            <w:pPr>
              <w:jc w:val="right"/>
              <w:ind w:right="631"/>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8,119.7</w:t>
            </w:r>
          </w:p>
        </w:tc>
        <w:tc>
          <w:tcPr>
            <w:tcW w:w="1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51"/>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7,890.0</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
        </w:trPr>
        <w:tc>
          <w:tcPr>
            <w:tcW w:w="8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7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7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81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Accounts payable</w:t>
            </w:r>
          </w:p>
        </w:tc>
        <w:tc>
          <w:tcPr>
            <w:tcW w:w="780" w:type="dxa"/>
            <w:vAlign w:val="bottom"/>
            <w:shd w:val="clear" w:color="auto" w:fill="CCEEFF"/>
          </w:tcPr>
          <w:p>
            <w:pPr>
              <w:jc w:val="right"/>
              <w:ind w:right="631"/>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208.7</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208.7</w:t>
            </w:r>
          </w:p>
        </w:tc>
        <w:tc>
          <w:tcPr>
            <w:tcW w:w="0" w:type="dxa"/>
            <w:vAlign w:val="bottom"/>
          </w:tcPr>
          <w:p>
            <w:pPr>
              <w:spacing w:after="0"/>
              <w:rPr>
                <w:sz w:val="1"/>
                <w:szCs w:val="1"/>
                <w:color w:val="auto"/>
              </w:rPr>
            </w:pPr>
          </w:p>
        </w:tc>
      </w:tr>
      <w:tr>
        <w:trPr>
          <w:trHeight w:val="186"/>
        </w:trPr>
        <w:tc>
          <w:tcPr>
            <w:tcW w:w="81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Accrued payroll and benefits</w:t>
            </w:r>
          </w:p>
        </w:tc>
        <w:tc>
          <w:tcPr>
            <w:tcW w:w="7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64.9</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60.4</w:t>
            </w:r>
          </w:p>
        </w:tc>
        <w:tc>
          <w:tcPr>
            <w:tcW w:w="0" w:type="dxa"/>
            <w:vAlign w:val="bottom"/>
          </w:tcPr>
          <w:p>
            <w:pPr>
              <w:spacing w:after="0"/>
              <w:rPr>
                <w:sz w:val="1"/>
                <w:szCs w:val="1"/>
                <w:color w:val="auto"/>
              </w:rPr>
            </w:pPr>
          </w:p>
        </w:tc>
      </w:tr>
      <w:tr>
        <w:trPr>
          <w:trHeight w:val="201"/>
        </w:trPr>
        <w:tc>
          <w:tcPr>
            <w:tcW w:w="81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78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242.6</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253.9</w:t>
            </w:r>
          </w:p>
        </w:tc>
        <w:tc>
          <w:tcPr>
            <w:tcW w:w="0" w:type="dxa"/>
            <w:vAlign w:val="bottom"/>
          </w:tcPr>
          <w:p>
            <w:pPr>
              <w:spacing w:after="0"/>
              <w:rPr>
                <w:sz w:val="1"/>
                <w:szCs w:val="1"/>
                <w:color w:val="auto"/>
              </w:rPr>
            </w:pPr>
          </w:p>
        </w:tc>
      </w:tr>
      <w:tr>
        <w:trPr>
          <w:trHeight w:val="186"/>
        </w:trPr>
        <w:tc>
          <w:tcPr>
            <w:tcW w:w="81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4"/>
                <w:szCs w:val="14"/>
                <w:color w:val="auto"/>
              </w:rPr>
              <w:t>Current maturities of long-term debt</w:t>
            </w:r>
          </w:p>
        </w:tc>
        <w:tc>
          <w:tcPr>
            <w:tcW w:w="7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99.3</w:t>
            </w: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101.4</w:t>
            </w:r>
          </w:p>
        </w:tc>
        <w:tc>
          <w:tcPr>
            <w:tcW w:w="0" w:type="dxa"/>
            <w:vAlign w:val="bottom"/>
          </w:tcPr>
          <w:p>
            <w:pPr>
              <w:spacing w:after="0"/>
              <w:rPr>
                <w:sz w:val="1"/>
                <w:szCs w:val="1"/>
                <w:color w:val="auto"/>
              </w:rPr>
            </w:pPr>
          </w:p>
        </w:tc>
      </w:tr>
      <w:tr>
        <w:trPr>
          <w:trHeight w:val="193"/>
        </w:trPr>
        <w:tc>
          <w:tcPr>
            <w:tcW w:w="81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78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615.5</w:t>
            </w: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624.4</w:t>
            </w:r>
          </w:p>
        </w:tc>
        <w:tc>
          <w:tcPr>
            <w:tcW w:w="0" w:type="dxa"/>
            <w:vAlign w:val="bottom"/>
          </w:tcPr>
          <w:p>
            <w:pPr>
              <w:spacing w:after="0"/>
              <w:rPr>
                <w:sz w:val="1"/>
                <w:szCs w:val="1"/>
                <w:color w:val="auto"/>
              </w:rPr>
            </w:pPr>
          </w:p>
        </w:tc>
      </w:tr>
      <w:tr>
        <w:trPr>
          <w:trHeight w:val="186"/>
        </w:trPr>
        <w:tc>
          <w:tcPr>
            <w:tcW w:w="8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Long-term debt, less current maturities</w:t>
            </w:r>
          </w:p>
        </w:tc>
        <w:tc>
          <w:tcPr>
            <w:tcW w:w="7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5"/>
              </w:rPr>
              <w:t>3,602.9</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3,268.9</w:t>
            </w:r>
          </w:p>
        </w:tc>
        <w:tc>
          <w:tcPr>
            <w:tcW w:w="0" w:type="dxa"/>
            <w:vAlign w:val="bottom"/>
          </w:tcPr>
          <w:p>
            <w:pPr>
              <w:spacing w:after="0"/>
              <w:rPr>
                <w:sz w:val="1"/>
                <w:szCs w:val="1"/>
                <w:color w:val="auto"/>
              </w:rPr>
            </w:pPr>
          </w:p>
        </w:tc>
      </w:tr>
      <w:tr>
        <w:trPr>
          <w:trHeight w:val="201"/>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Right-of-use operating lease liabilities</w:t>
            </w:r>
          </w:p>
        </w:tc>
        <w:tc>
          <w:tcPr>
            <w:tcW w:w="78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279.9</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292.1</w:t>
            </w:r>
          </w:p>
        </w:tc>
        <w:tc>
          <w:tcPr>
            <w:tcW w:w="0" w:type="dxa"/>
            <w:vAlign w:val="bottom"/>
          </w:tcPr>
          <w:p>
            <w:pPr>
              <w:spacing w:after="0"/>
              <w:rPr>
                <w:sz w:val="1"/>
                <w:szCs w:val="1"/>
                <w:color w:val="auto"/>
              </w:rPr>
            </w:pPr>
          </w:p>
        </w:tc>
      </w:tr>
      <w:tr>
        <w:trPr>
          <w:trHeight w:val="186"/>
        </w:trPr>
        <w:tc>
          <w:tcPr>
            <w:tcW w:w="8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Long-term deferred tax liabilities</w:t>
            </w:r>
          </w:p>
        </w:tc>
        <w:tc>
          <w:tcPr>
            <w:tcW w:w="7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53.4</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39.2</w:t>
            </w:r>
          </w:p>
        </w:tc>
        <w:tc>
          <w:tcPr>
            <w:tcW w:w="0" w:type="dxa"/>
            <w:vAlign w:val="bottom"/>
          </w:tcPr>
          <w:p>
            <w:pPr>
              <w:spacing w:after="0"/>
              <w:rPr>
                <w:sz w:val="1"/>
                <w:szCs w:val="1"/>
                <w:color w:val="auto"/>
              </w:rPr>
            </w:pPr>
          </w:p>
        </w:tc>
      </w:tr>
      <w:tr>
        <w:trPr>
          <w:trHeight w:val="201"/>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78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41.2</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w:t>
            </w:r>
          </w:p>
        </w:tc>
        <w:tc>
          <w:tcPr>
            <w:tcW w:w="0" w:type="dxa"/>
            <w:vAlign w:val="bottom"/>
          </w:tcPr>
          <w:p>
            <w:pPr>
              <w:spacing w:after="0"/>
              <w:rPr>
                <w:sz w:val="1"/>
                <w:szCs w:val="1"/>
                <w:color w:val="auto"/>
              </w:rPr>
            </w:pPr>
          </w:p>
        </w:tc>
      </w:tr>
      <w:tr>
        <w:trPr>
          <w:trHeight w:val="103"/>
        </w:trPr>
        <w:tc>
          <w:tcPr>
            <w:tcW w:w="8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Non-controlling interests—redeemable</w:t>
            </w:r>
          </w:p>
        </w:tc>
        <w:tc>
          <w:tcPr>
            <w:tcW w:w="78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395.5</w:t>
            </w: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438.8</w:t>
            </w:r>
          </w:p>
        </w:tc>
        <w:tc>
          <w:tcPr>
            <w:tcW w:w="0" w:type="dxa"/>
            <w:vAlign w:val="bottom"/>
          </w:tcPr>
          <w:p>
            <w:pPr>
              <w:spacing w:after="0"/>
              <w:rPr>
                <w:sz w:val="1"/>
                <w:szCs w:val="1"/>
                <w:color w:val="auto"/>
              </w:rPr>
            </w:pPr>
          </w:p>
        </w:tc>
      </w:tr>
      <w:tr>
        <w:trPr>
          <w:trHeight w:val="103"/>
        </w:trPr>
        <w:tc>
          <w:tcPr>
            <w:tcW w:w="8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Stockholders' equity:</w:t>
            </w:r>
          </w:p>
        </w:tc>
        <w:tc>
          <w:tcPr>
            <w:tcW w:w="7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1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Preferred stock, $0.01 par value; shares authorized - 20,310,000; shares issued or outstanding - none</w:t>
            </w:r>
          </w:p>
        </w:tc>
        <w:tc>
          <w:tcPr>
            <w:tcW w:w="780" w:type="dxa"/>
            <w:vAlign w:val="bottom"/>
          </w:tcPr>
          <w:p>
            <w:pPr>
              <w:spacing w:after="0"/>
              <w:rPr>
                <w:sz w:val="16"/>
                <w:szCs w:val="16"/>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8120" w:type="dxa"/>
            <w:vAlign w:val="bottom"/>
            <w:shd w:val="clear" w:color="auto" w:fill="CCEEFF"/>
          </w:tcPr>
          <w:p>
            <w:pPr>
              <w:ind w:left="200"/>
              <w:spacing w:after="0" w:line="142" w:lineRule="exact"/>
              <w:rPr>
                <w:sz w:val="20"/>
                <w:szCs w:val="20"/>
                <w:color w:val="auto"/>
              </w:rPr>
            </w:pPr>
            <w:r>
              <w:rPr>
                <w:rFonts w:ascii="Times New Roman" w:cs="Times New Roman" w:eastAsia="Times New Roman" w:hAnsi="Times New Roman"/>
                <w:sz w:val="14"/>
                <w:szCs w:val="14"/>
                <w:color w:val="auto"/>
              </w:rPr>
              <w:t>Common stock, $0.01 par value; shares authorized - 300,000,000; shares issued and outstanding - 129,321,144 and 127,109,383,</w:t>
            </w:r>
          </w:p>
        </w:tc>
        <w:tc>
          <w:tcPr>
            <w:tcW w:w="780" w:type="dxa"/>
            <w:vAlign w:val="bottom"/>
            <w:shd w:val="clear" w:color="auto" w:fill="CCEEFF"/>
          </w:tcPr>
          <w:p>
            <w:pPr>
              <w:spacing w:after="0"/>
              <w:rPr>
                <w:sz w:val="12"/>
                <w:szCs w:val="12"/>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88"/>
        </w:trPr>
        <w:tc>
          <w:tcPr>
            <w:tcW w:w="81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respectively</w:t>
            </w:r>
          </w:p>
        </w:tc>
        <w:tc>
          <w:tcPr>
            <w:tcW w:w="780" w:type="dxa"/>
            <w:vAlign w:val="bottom"/>
            <w:shd w:val="clear" w:color="auto" w:fill="CCEEFF"/>
          </w:tcPr>
          <w:p>
            <w:pPr>
              <w:spacing w:after="0"/>
              <w:rPr>
                <w:sz w:val="16"/>
                <w:szCs w:val="16"/>
                <w:color w:val="auto"/>
              </w:rPr>
            </w:pPr>
          </w:p>
        </w:tc>
        <w:tc>
          <w:tcPr>
            <w:tcW w:w="4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1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7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5"/>
              </w:rPr>
              <w:t>2,540.6</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2,520.9</w:t>
            </w:r>
          </w:p>
        </w:tc>
        <w:tc>
          <w:tcPr>
            <w:tcW w:w="0" w:type="dxa"/>
            <w:vAlign w:val="bottom"/>
          </w:tcPr>
          <w:p>
            <w:pPr>
              <w:spacing w:after="0"/>
              <w:rPr>
                <w:sz w:val="1"/>
                <w:szCs w:val="1"/>
                <w:color w:val="auto"/>
              </w:rPr>
            </w:pPr>
          </w:p>
        </w:tc>
      </w:tr>
      <w:tr>
        <w:trPr>
          <w:trHeight w:val="201"/>
        </w:trPr>
        <w:tc>
          <w:tcPr>
            <w:tcW w:w="81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Accumulated other comprehensive (loss) income</w:t>
            </w:r>
          </w:p>
        </w:tc>
        <w:tc>
          <w:tcPr>
            <w:tcW w:w="78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0" w:type="dxa"/>
            <w:vAlign w:val="bottom"/>
          </w:tcPr>
          <w:p>
            <w:pPr>
              <w:spacing w:after="0"/>
              <w:rPr>
                <w:sz w:val="1"/>
                <w:szCs w:val="1"/>
                <w:color w:val="auto"/>
              </w:rPr>
            </w:pPr>
          </w:p>
        </w:tc>
      </w:tr>
      <w:tr>
        <w:trPr>
          <w:trHeight w:val="186"/>
        </w:trPr>
        <w:tc>
          <w:tcPr>
            <w:tcW w:w="81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4"/>
                <w:szCs w:val="14"/>
                <w:color w:val="auto"/>
              </w:rPr>
              <w:t>Retained deficit</w:t>
            </w:r>
          </w:p>
        </w:tc>
        <w:tc>
          <w:tcPr>
            <w:tcW w:w="7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(815.2)</w:t>
            </w: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(737.3)</w:t>
            </w:r>
          </w:p>
        </w:tc>
        <w:tc>
          <w:tcPr>
            <w:tcW w:w="0" w:type="dxa"/>
            <w:vAlign w:val="bottom"/>
          </w:tcPr>
          <w:p>
            <w:pPr>
              <w:spacing w:after="0"/>
              <w:rPr>
                <w:sz w:val="1"/>
                <w:szCs w:val="1"/>
                <w:color w:val="auto"/>
              </w:rPr>
            </w:pPr>
          </w:p>
        </w:tc>
      </w:tr>
      <w:tr>
        <w:trPr>
          <w:trHeight w:val="193"/>
        </w:trPr>
        <w:tc>
          <w:tcPr>
            <w:tcW w:w="81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Total Surgery Partners, Inc. stockholders' equity</w:t>
            </w:r>
          </w:p>
        </w:tc>
        <w:tc>
          <w:tcPr>
            <w:tcW w:w="78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1,712.9</w:t>
            </w: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1,789.7</w:t>
            </w:r>
          </w:p>
        </w:tc>
        <w:tc>
          <w:tcPr>
            <w:tcW w:w="0" w:type="dxa"/>
            <w:vAlign w:val="bottom"/>
          </w:tcPr>
          <w:p>
            <w:pPr>
              <w:spacing w:after="0"/>
              <w:rPr>
                <w:sz w:val="1"/>
                <w:szCs w:val="1"/>
                <w:color w:val="auto"/>
              </w:rPr>
            </w:pPr>
          </w:p>
        </w:tc>
      </w:tr>
      <w:tr>
        <w:trPr>
          <w:trHeight w:val="186"/>
        </w:trPr>
        <w:tc>
          <w:tcPr>
            <w:tcW w:w="81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4"/>
                <w:szCs w:val="14"/>
                <w:color w:val="auto"/>
              </w:rPr>
              <w:t>Non-controlling interests—non-redeemable</w:t>
            </w:r>
          </w:p>
        </w:tc>
        <w:tc>
          <w:tcPr>
            <w:tcW w:w="7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5"/>
              </w:rPr>
              <w:t>1,418.4</w:t>
            </w: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1,406.7</w:t>
            </w:r>
          </w:p>
        </w:tc>
        <w:tc>
          <w:tcPr>
            <w:tcW w:w="0" w:type="dxa"/>
            <w:vAlign w:val="bottom"/>
          </w:tcPr>
          <w:p>
            <w:pPr>
              <w:spacing w:after="0"/>
              <w:rPr>
                <w:sz w:val="1"/>
                <w:szCs w:val="1"/>
                <w:color w:val="auto"/>
              </w:rPr>
            </w:pPr>
          </w:p>
        </w:tc>
      </w:tr>
      <w:tr>
        <w:trPr>
          <w:trHeight w:val="186"/>
        </w:trPr>
        <w:tc>
          <w:tcPr>
            <w:tcW w:w="81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Total stockholders' equity</w:t>
            </w:r>
          </w:p>
        </w:tc>
        <w:tc>
          <w:tcPr>
            <w:tcW w:w="78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3,131.3</w:t>
            </w:r>
          </w:p>
        </w:tc>
        <w:tc>
          <w:tcPr>
            <w:tcW w:w="120" w:type="dxa"/>
            <w:vAlign w:val="bottom"/>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3,196.4</w:t>
            </w:r>
          </w:p>
        </w:tc>
        <w:tc>
          <w:tcPr>
            <w:tcW w:w="0" w:type="dxa"/>
            <w:vAlign w:val="bottom"/>
          </w:tcPr>
          <w:p>
            <w:pPr>
              <w:spacing w:after="0"/>
              <w:rPr>
                <w:sz w:val="1"/>
                <w:szCs w:val="1"/>
                <w:color w:val="auto"/>
              </w:rPr>
            </w:pPr>
          </w:p>
        </w:tc>
      </w:tr>
      <w:tr>
        <w:trPr>
          <w:trHeight w:val="193"/>
        </w:trPr>
        <w:tc>
          <w:tcPr>
            <w:tcW w:w="81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Total liabilities and stockholders' equity</w:t>
            </w:r>
          </w:p>
        </w:tc>
        <w:tc>
          <w:tcPr>
            <w:tcW w:w="78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5"/>
              </w:rPr>
              <w:t>8,119.7</w:t>
            </w:r>
          </w:p>
        </w:tc>
        <w:tc>
          <w:tcPr>
            <w:tcW w:w="120" w:type="dxa"/>
            <w:vAlign w:val="bottom"/>
          </w:tcPr>
          <w:p>
            <w:pPr>
              <w:spacing w:after="0"/>
              <w:rPr>
                <w:sz w:val="16"/>
                <w:szCs w:val="16"/>
                <w:color w:val="auto"/>
              </w:rPr>
            </w:pPr>
          </w:p>
        </w:tc>
        <w:tc>
          <w:tcPr>
            <w:tcW w:w="42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7,890.0</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5"/>
          <w:szCs w:val="15"/>
          <w:color w:val="auto"/>
        </w:rPr>
        <w:t>See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0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020"/>
          </w:cols>
          <w:pgMar w:left="320" w:top="120" w:right="5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2"/>
          <w:szCs w:val="12"/>
          <w:b w:val="1"/>
          <w:bCs w:val="1"/>
          <w:u w:val="single" w:color="auto"/>
          <w:color w:val="0000FF"/>
        </w:rPr>
        <w:t>Table of Contents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SURGERY PARTNERS, INC.</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OPERATIONS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 except per share amounts; shares in thousands)</w:t>
      </w:r>
    </w:p>
    <w:p>
      <w:pPr>
        <w:spacing w:after="0" w:line="200" w:lineRule="exact"/>
        <w:rPr>
          <w:sz w:val="20"/>
          <w:szCs w:val="20"/>
          <w:color w:val="auto"/>
        </w:rPr>
      </w:pPr>
    </w:p>
    <w:p>
      <w:pPr>
        <w:spacing w:after="0" w:line="269" w:lineRule="exact"/>
        <w:rPr>
          <w:sz w:val="20"/>
          <w:szCs w:val="20"/>
          <w:color w:val="auto"/>
        </w:rPr>
      </w:pPr>
    </w:p>
    <w:tbl>
      <w:tblPr>
        <w:tblLayout w:type="fixed"/>
        <w:tblInd w:w="20" w:type="dxa"/>
        <w:tblCellMar>
          <w:top w:w="0" w:type="dxa"/>
          <w:left w:w="0" w:type="dxa"/>
          <w:bottom w:w="0" w:type="dxa"/>
          <w:right w:w="0" w:type="dxa"/>
        </w:tblCellMar>
      </w:tblPr>
      <w:tr>
        <w:trPr>
          <w:trHeight w:val="182"/>
        </w:trPr>
        <w:tc>
          <w:tcPr>
            <w:tcW w:w="7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740" w:type="dxa"/>
            <w:vAlign w:val="bottom"/>
            <w:gridSpan w:val="6"/>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80" w:type="dxa"/>
            <w:vAlign w:val="bottom"/>
          </w:tcPr>
          <w:p>
            <w:pPr>
              <w:spacing w:after="0"/>
              <w:rPr>
                <w:sz w:val="15"/>
                <w:szCs w:val="15"/>
                <w:color w:val="auto"/>
              </w:rPr>
            </w:pPr>
          </w:p>
        </w:tc>
      </w:tr>
      <w:tr>
        <w:trPr>
          <w:trHeight w:val="22"/>
        </w:trPr>
        <w:tc>
          <w:tcPr>
            <w:tcW w:w="7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81"/>
        </w:trPr>
        <w:tc>
          <w:tcPr>
            <w:tcW w:w="72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0"/>
        </w:trPr>
        <w:tc>
          <w:tcPr>
            <w:tcW w:w="7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193"/>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Revenues</w:t>
            </w:r>
          </w:p>
        </w:tc>
        <w:tc>
          <w:tcPr>
            <w:tcW w:w="2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3,308.7</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3,114.3</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2,743.3</w:t>
            </w:r>
          </w:p>
        </w:tc>
      </w:tr>
      <w:tr>
        <w:trPr>
          <w:trHeight w:val="186"/>
        </w:trPr>
        <w:tc>
          <w:tcPr>
            <w:tcW w:w="7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01"/>
        </w:trPr>
        <w:tc>
          <w:tcPr>
            <w:tcW w:w="7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Salaries and benefits</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971.0</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907.5</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793.8</w:t>
            </w:r>
          </w:p>
        </w:tc>
      </w:tr>
      <w:tr>
        <w:trPr>
          <w:trHeight w:val="186"/>
        </w:trPr>
        <w:tc>
          <w:tcPr>
            <w:tcW w:w="72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Supplies</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878.9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812.9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745.0</w:t>
            </w:r>
          </w:p>
        </w:tc>
      </w:tr>
      <w:tr>
        <w:trPr>
          <w:trHeight w:val="201"/>
        </w:trPr>
        <w:tc>
          <w:tcPr>
            <w:tcW w:w="7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Professional and medical fees</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404.5</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357.1</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296.8</w:t>
            </w:r>
          </w:p>
        </w:tc>
      </w:tr>
      <w:tr>
        <w:trPr>
          <w:trHeight w:val="186"/>
        </w:trPr>
        <w:tc>
          <w:tcPr>
            <w:tcW w:w="72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Lease expense</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84.9</w:t>
            </w:r>
          </w:p>
        </w:tc>
      </w:tr>
      <w:tr>
        <w:trPr>
          <w:trHeight w:val="201"/>
        </w:trPr>
        <w:tc>
          <w:tcPr>
            <w:tcW w:w="7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Other operating expenses</w:t>
            </w:r>
          </w:p>
        </w:tc>
        <w:tc>
          <w:tcPr>
            <w:tcW w:w="2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201.4</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201.7</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175.3</w:t>
            </w:r>
          </w:p>
        </w:tc>
      </w:tr>
      <w:tr>
        <w:trPr>
          <w:trHeight w:val="179"/>
        </w:trPr>
        <w:tc>
          <w:tcPr>
            <w:tcW w:w="72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Cost of revenues</w:t>
            </w: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2,543.7</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2,368.7</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2,095.8</w:t>
            </w:r>
          </w:p>
        </w:tc>
      </w:tr>
      <w:tr>
        <w:trPr>
          <w:trHeight w:val="201"/>
        </w:trPr>
        <w:tc>
          <w:tcPr>
            <w:tcW w:w="7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General and administrative expenses</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118.2</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138.7</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120.9</w:t>
            </w:r>
          </w:p>
        </w:tc>
      </w:tr>
      <w:tr>
        <w:trPr>
          <w:trHeight w:val="186"/>
        </w:trPr>
        <w:tc>
          <w:tcPr>
            <w:tcW w:w="72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118.1</w:t>
            </w:r>
          </w:p>
        </w:tc>
      </w:tr>
      <w:tr>
        <w:trPr>
          <w:trHeight w:val="201"/>
        </w:trPr>
        <w:tc>
          <w:tcPr>
            <w:tcW w:w="7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Transaction and integration costs</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73.9</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100.1</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61.7</w:t>
            </w:r>
          </w:p>
        </w:tc>
      </w:tr>
      <w:tr>
        <w:trPr>
          <w:trHeight w:val="186"/>
        </w:trPr>
        <w:tc>
          <w:tcPr>
            <w:tcW w:w="7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 on disposals, consolidations and deconsolidations</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w:t>
            </w:r>
          </w:p>
        </w:tc>
      </w:tr>
      <w:tr>
        <w:trPr>
          <w:trHeight w:val="201"/>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in earnings of unconsolidated affiliates</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w:t>
            </w:r>
          </w:p>
        </w:tc>
      </w:tr>
      <w:tr>
        <w:trPr>
          <w:trHeight w:val="186"/>
        </w:trPr>
        <w:tc>
          <w:tcPr>
            <w:tcW w:w="7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Litigation settlements</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w:t>
            </w:r>
          </w:p>
        </w:tc>
      </w:tr>
      <w:tr>
        <w:trPr>
          <w:trHeight w:val="201"/>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 on debt extinguishment</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w:t>
            </w:r>
          </w:p>
        </w:tc>
      </w:tr>
      <w:tr>
        <w:trPr>
          <w:trHeight w:val="186"/>
        </w:trPr>
        <w:tc>
          <w:tcPr>
            <w:tcW w:w="7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income, net</w:t>
            </w: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w:t>
            </w:r>
          </w:p>
        </w:tc>
      </w:tr>
      <w:tr>
        <w:trPr>
          <w:trHeight w:val="193"/>
        </w:trPr>
        <w:tc>
          <w:tcPr>
            <w:tcW w:w="722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2,919.2</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2,765.5</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2,415.3</w:t>
            </w:r>
          </w:p>
        </w:tc>
      </w:tr>
      <w:tr>
        <w:trPr>
          <w:trHeight w:val="179"/>
        </w:trPr>
        <w:tc>
          <w:tcPr>
            <w:tcW w:w="7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income</w:t>
            </w: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389.5</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348.8</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328.0</w:t>
            </w:r>
          </w:p>
        </w:tc>
      </w:tr>
      <w:tr>
        <w:trPr>
          <w:trHeight w:val="201"/>
        </w:trPr>
        <w:tc>
          <w:tcPr>
            <w:tcW w:w="7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Interest expense, net</w:t>
            </w:r>
          </w:p>
        </w:tc>
        <w:tc>
          <w:tcPr>
            <w:tcW w:w="2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(272.6)</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(201.7)</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(193.0)</w:t>
            </w:r>
          </w:p>
        </w:tc>
      </w:tr>
      <w:tr>
        <w:trPr>
          <w:trHeight w:val="179"/>
        </w:trPr>
        <w:tc>
          <w:tcPr>
            <w:tcW w:w="7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before income taxes</w:t>
            </w: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116.9</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147.1</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135.0</w:t>
            </w:r>
          </w:p>
        </w:tc>
      </w:tr>
      <w:tr>
        <w:trPr>
          <w:trHeight w:val="201"/>
        </w:trPr>
        <w:tc>
          <w:tcPr>
            <w:tcW w:w="7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2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(134.6)</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r>
      <w:tr>
        <w:trPr>
          <w:trHeight w:val="179"/>
        </w:trPr>
        <w:tc>
          <w:tcPr>
            <w:tcW w:w="7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98.9</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135.3</w:t>
            </w:r>
          </w:p>
        </w:tc>
      </w:tr>
      <w:tr>
        <w:trPr>
          <w:trHeight w:val="194"/>
        </w:trPr>
        <w:tc>
          <w:tcPr>
            <w:tcW w:w="7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Less: Net income attributable to non-controlling interests</w:t>
            </w:r>
          </w:p>
        </w:tc>
        <w:tc>
          <w:tcPr>
            <w:tcW w:w="28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(176.8)</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(180.6)</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(147.2)</w:t>
            </w:r>
          </w:p>
        </w:tc>
      </w:tr>
      <w:tr>
        <w:trPr>
          <w:trHeight w:val="193"/>
        </w:trPr>
        <w:tc>
          <w:tcPr>
            <w:tcW w:w="7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 attributable to Surgery Partners, Inc.</w:t>
            </w:r>
          </w:p>
        </w:tc>
        <w:tc>
          <w:tcPr>
            <w:tcW w:w="2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(77.9)</w:t>
            </w:r>
          </w:p>
        </w:tc>
        <w:tc>
          <w:tcPr>
            <w:tcW w:w="100" w:type="dxa"/>
            <w:vAlign w:val="bottom"/>
          </w:tcPr>
          <w:p>
            <w:pPr>
              <w:spacing w:after="0"/>
              <w:rPr>
                <w:sz w:val="16"/>
                <w:szCs w:val="16"/>
                <w:color w:val="auto"/>
              </w:rPr>
            </w:pPr>
          </w:p>
        </w:tc>
        <w:tc>
          <w:tcPr>
            <w:tcW w:w="30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(168.1)</w:t>
            </w:r>
          </w:p>
        </w:tc>
        <w:tc>
          <w:tcPr>
            <w:tcW w:w="100" w:type="dxa"/>
            <w:vAlign w:val="bottom"/>
          </w:tcPr>
          <w:p>
            <w:pPr>
              <w:spacing w:after="0"/>
              <w:rPr>
                <w:sz w:val="16"/>
                <w:szCs w:val="16"/>
                <w:color w:val="auto"/>
              </w:rPr>
            </w:pPr>
          </w:p>
        </w:tc>
        <w:tc>
          <w:tcPr>
            <w:tcW w:w="3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w:t>
            </w:r>
          </w:p>
        </w:tc>
      </w:tr>
      <w:tr>
        <w:trPr>
          <w:trHeight w:val="20"/>
        </w:trPr>
        <w:tc>
          <w:tcPr>
            <w:tcW w:w="72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11"/>
        </w:trPr>
        <w:tc>
          <w:tcPr>
            <w:tcW w:w="7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186"/>
        </w:trPr>
        <w:tc>
          <w:tcPr>
            <w:tcW w:w="7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 per share attributable to common stockholders:</w:t>
            </w: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01"/>
        </w:trPr>
        <w:tc>
          <w:tcPr>
            <w:tcW w:w="7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Basic</w:t>
            </w:r>
          </w:p>
        </w:tc>
        <w:tc>
          <w:tcPr>
            <w:tcW w:w="2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(0.61)</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(0.09)</w:t>
            </w:r>
          </w:p>
        </w:tc>
      </w:tr>
      <w:tr>
        <w:trPr>
          <w:trHeight w:val="193"/>
        </w:trPr>
        <w:tc>
          <w:tcPr>
            <w:tcW w:w="7220" w:type="dxa"/>
            <w:vAlign w:val="bottom"/>
          </w:tcPr>
          <w:p>
            <w:pPr>
              <w:ind w:left="220"/>
              <w:spacing w:after="0" w:line="194" w:lineRule="exact"/>
              <w:rPr>
                <w:sz w:val="20"/>
                <w:szCs w:val="20"/>
                <w:color w:val="auto"/>
              </w:rPr>
            </w:pPr>
            <w:r>
              <w:rPr>
                <w:rFonts w:ascii="Times New Roman" w:cs="Times New Roman" w:eastAsia="Times New Roman" w:hAnsi="Times New Roman"/>
                <w:sz w:val="14"/>
                <w:szCs w:val="14"/>
                <w:color w:val="auto"/>
              </w:rPr>
              <w:t xml:space="preserve">Diluted </w:t>
            </w:r>
            <w:r>
              <w:rPr>
                <w:rFonts w:ascii="Times New Roman" w:cs="Times New Roman" w:eastAsia="Times New Roman" w:hAnsi="Times New Roman"/>
                <w:sz w:val="17"/>
                <w:szCs w:val="17"/>
                <w:color w:val="auto"/>
                <w:vertAlign w:val="superscript"/>
              </w:rPr>
              <w:t>(1)</w:t>
            </w:r>
          </w:p>
        </w:tc>
        <w:tc>
          <w:tcPr>
            <w:tcW w:w="280" w:type="dxa"/>
            <w:vAlign w:val="bottom"/>
          </w:tcPr>
          <w:p>
            <w:pPr>
              <w:jc w:val="right"/>
              <w:ind w:right="131"/>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(0.61)</w:t>
            </w:r>
          </w:p>
        </w:tc>
        <w:tc>
          <w:tcPr>
            <w:tcW w:w="100" w:type="dxa"/>
            <w:vAlign w:val="bottom"/>
          </w:tcPr>
          <w:p>
            <w:pPr>
              <w:spacing w:after="0"/>
              <w:rPr>
                <w:sz w:val="16"/>
                <w:szCs w:val="16"/>
                <w:color w:val="auto"/>
              </w:rPr>
            </w:pPr>
          </w:p>
        </w:tc>
        <w:tc>
          <w:tcPr>
            <w:tcW w:w="300" w:type="dxa"/>
            <w:vAlign w:val="bottom"/>
          </w:tcPr>
          <w:p>
            <w:pPr>
              <w:jc w:val="right"/>
              <w:ind w:right="151"/>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100" w:type="dxa"/>
            <w:vAlign w:val="bottom"/>
          </w:tcPr>
          <w:p>
            <w:pPr>
              <w:spacing w:after="0"/>
              <w:rPr>
                <w:sz w:val="16"/>
                <w:szCs w:val="16"/>
                <w:color w:val="auto"/>
              </w:rPr>
            </w:pPr>
          </w:p>
        </w:tc>
        <w:tc>
          <w:tcPr>
            <w:tcW w:w="300" w:type="dxa"/>
            <w:vAlign w:val="bottom"/>
          </w:tcPr>
          <w:p>
            <w:pPr>
              <w:jc w:val="right"/>
              <w:ind w:right="131"/>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(0.09)</w:t>
            </w:r>
          </w:p>
        </w:tc>
      </w:tr>
      <w:tr>
        <w:trPr>
          <w:trHeight w:val="193"/>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 average common shares outstanding:</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r>
      <w:tr>
        <w:trPr>
          <w:trHeight w:val="186"/>
        </w:trPr>
        <w:tc>
          <w:tcPr>
            <w:tcW w:w="72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Basic</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127,209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126,122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125,613</w:t>
            </w:r>
          </w:p>
        </w:tc>
      </w:tr>
      <w:tr>
        <w:trPr>
          <w:trHeight w:val="201"/>
        </w:trPr>
        <w:tc>
          <w:tcPr>
            <w:tcW w:w="7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 xml:space="preserve">Diluted </w:t>
            </w:r>
            <w:r>
              <w:rPr>
                <w:rFonts w:ascii="Times New Roman" w:cs="Times New Roman" w:eastAsia="Times New Roman" w:hAnsi="Times New Roman"/>
                <w:sz w:val="17"/>
                <w:szCs w:val="17"/>
                <w:color w:val="auto"/>
                <w:vertAlign w:val="superscript"/>
              </w:rPr>
              <w:t>(1)</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127,209</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126,122</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125,613</w:t>
            </w:r>
          </w:p>
        </w:tc>
      </w:tr>
    </w:tbl>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  The impact of potentially dilutive securities for all periods was not considered because the effect would be anti-dilutive.</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See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1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2"/>
          <w:szCs w:val="12"/>
          <w:b w:val="1"/>
          <w:bCs w:val="1"/>
          <w:u w:val="single" w:color="auto"/>
          <w:color w:val="0000FF"/>
        </w:rPr>
        <w:t>Table of Contents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SURGERY PARTNERS, INC.</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COMPREHENSIVE INCOME (LOSS)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40" w:type="dxa"/>
            <w:vAlign w:val="bottom"/>
            <w:gridSpan w:val="6"/>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60" w:type="dxa"/>
            <w:vAlign w:val="bottom"/>
          </w:tcPr>
          <w:p>
            <w:pPr>
              <w:spacing w:after="0"/>
              <w:rPr>
                <w:sz w:val="15"/>
                <w:szCs w:val="15"/>
                <w:color w:val="auto"/>
              </w:rPr>
            </w:pPr>
          </w:p>
        </w:tc>
      </w:tr>
      <w:tr>
        <w:trPr>
          <w:trHeight w:val="22"/>
        </w:trPr>
        <w:tc>
          <w:tcPr>
            <w:tcW w:w="76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81"/>
        </w:trPr>
        <w:tc>
          <w:tcPr>
            <w:tcW w:w="7640" w:type="dxa"/>
            <w:vAlign w:val="bottom"/>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40"/>
        </w:trPr>
        <w:tc>
          <w:tcPr>
            <w:tcW w:w="7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93"/>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700" w:type="dxa"/>
            <w:vAlign w:val="bottom"/>
            <w:shd w:val="clear" w:color="auto" w:fill="CCEEFF"/>
          </w:tcPr>
          <w:p>
            <w:pPr>
              <w:jc w:val="right"/>
              <w:ind w:right="551"/>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98.9</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135.3</w:t>
            </w:r>
          </w:p>
        </w:tc>
      </w:tr>
      <w:tr>
        <w:trPr>
          <w:trHeight w:val="186"/>
        </w:trPr>
        <w:tc>
          <w:tcPr>
            <w:tcW w:w="7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(loss) income, net of tax:</w:t>
            </w:r>
          </w:p>
        </w:tc>
        <w:tc>
          <w:tcPr>
            <w:tcW w:w="7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01"/>
        </w:trPr>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Derivative activity, net of tax of $0</w:t>
            </w:r>
          </w:p>
        </w:tc>
        <w:tc>
          <w:tcPr>
            <w:tcW w:w="70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(52.7)</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(18.7)</w:t>
            </w:r>
          </w:p>
        </w:tc>
      </w:tr>
      <w:tr>
        <w:trPr>
          <w:trHeight w:val="179"/>
        </w:trPr>
        <w:tc>
          <w:tcPr>
            <w:tcW w:w="76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Comprehensive income (loss)</w:t>
            </w:r>
          </w:p>
        </w:tc>
        <w:tc>
          <w:tcPr>
            <w:tcW w:w="70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80.3</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(40.2)</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116.6</w:t>
            </w:r>
          </w:p>
        </w:tc>
      </w:tr>
      <w:tr>
        <w:trPr>
          <w:trHeight w:val="194"/>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Comprehensive income attributable to non-controlling interests</w:t>
            </w:r>
          </w:p>
        </w:tc>
        <w:tc>
          <w:tcPr>
            <w:tcW w:w="700" w:type="dxa"/>
            <w:vAlign w:val="bottom"/>
            <w:tcBorders>
              <w:bottom w:val="single" w:sz="8" w:color="auto"/>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2"/>
              </w:rPr>
              <w:t>(176.8)</w:t>
            </w:r>
          </w:p>
        </w:tc>
        <w:tc>
          <w:tcPr>
            <w:tcW w:w="12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(180.6)</w:t>
            </w:r>
          </w:p>
        </w:tc>
        <w:tc>
          <w:tcPr>
            <w:tcW w:w="12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w w:val="97"/>
              </w:rPr>
              <w:t>(147.2)</w:t>
            </w:r>
          </w:p>
        </w:tc>
      </w:tr>
      <w:tr>
        <w:trPr>
          <w:trHeight w:val="193"/>
        </w:trPr>
        <w:tc>
          <w:tcPr>
            <w:tcW w:w="76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Comprehensive loss attributable to Surgery Partners, Inc.</w:t>
            </w:r>
          </w:p>
        </w:tc>
        <w:tc>
          <w:tcPr>
            <w:tcW w:w="7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(96.5)</w:t>
            </w:r>
          </w:p>
        </w:tc>
        <w:tc>
          <w:tcPr>
            <w:tcW w:w="120" w:type="dxa"/>
            <w:vAlign w:val="bottom"/>
          </w:tcPr>
          <w:p>
            <w:pPr>
              <w:spacing w:after="0"/>
              <w:rPr>
                <w:sz w:val="16"/>
                <w:szCs w:val="16"/>
                <w:color w:val="auto"/>
              </w:rPr>
            </w:pPr>
          </w:p>
        </w:tc>
        <w:tc>
          <w:tcPr>
            <w:tcW w:w="26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(220.8)</w:t>
            </w:r>
          </w:p>
        </w:tc>
        <w:tc>
          <w:tcPr>
            <w:tcW w:w="120" w:type="dxa"/>
            <w:vAlign w:val="bottom"/>
          </w:tcPr>
          <w:p>
            <w:pPr>
              <w:spacing w:after="0"/>
              <w:rPr>
                <w:sz w:val="16"/>
                <w:szCs w:val="16"/>
                <w:color w:val="auto"/>
              </w:rPr>
            </w:pPr>
          </w:p>
        </w:tc>
        <w:tc>
          <w:tcPr>
            <w:tcW w:w="26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4"/>
                <w:szCs w:val="14"/>
                <w:color w:val="auto"/>
              </w:rPr>
              <w:t>(30.6)</w:t>
            </w:r>
          </w:p>
        </w:tc>
      </w:tr>
      <w:tr>
        <w:trPr>
          <w:trHeight w:val="20"/>
        </w:trPr>
        <w:tc>
          <w:tcPr>
            <w:tcW w:w="76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1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2"/>
          <w:szCs w:val="12"/>
          <w:b w:val="1"/>
          <w:bCs w:val="1"/>
          <w:u w:val="single" w:color="auto"/>
          <w:color w:val="0000FF"/>
        </w:rPr>
        <w:t>Table of Contents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SURGERY PARTNERS, INC.</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STOCKHOLDERS' EQUITY</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 shares in thousands)</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0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9"/>
              </w:rPr>
              <w:t>Accumulated</w:t>
            </w: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20" w:type="dxa"/>
            <w:vAlign w:val="bottom"/>
          </w:tcPr>
          <w:p>
            <w:pPr>
              <w:spacing w:after="0"/>
              <w:rPr>
                <w:sz w:val="12"/>
                <w:szCs w:val="12"/>
                <w:color w:val="auto"/>
              </w:rPr>
            </w:pPr>
          </w:p>
        </w:tc>
        <w:tc>
          <w:tcPr>
            <w:tcW w:w="1960" w:type="dxa"/>
            <w:vAlign w:val="bottom"/>
            <w:gridSpan w:val="5"/>
          </w:tcPr>
          <w:p>
            <w:pPr>
              <w:ind w:left="520"/>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80" w:type="dxa"/>
            <w:vAlign w:val="bottom"/>
          </w:tcPr>
          <w:p>
            <w:pPr>
              <w:spacing w:after="0"/>
              <w:rPr>
                <w:sz w:val="12"/>
                <w:szCs w:val="12"/>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Additional</w:t>
            </w:r>
          </w:p>
        </w:tc>
        <w:tc>
          <w:tcPr>
            <w:tcW w:w="100" w:type="dxa"/>
            <w:vAlign w:val="bottom"/>
          </w:tcPr>
          <w:p>
            <w:pPr>
              <w:spacing w:after="0"/>
              <w:rPr>
                <w:sz w:val="12"/>
                <w:szCs w:val="12"/>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rPr>
              <w:t>Other</w:t>
            </w: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9"/>
              </w:rPr>
              <w:t>Non-Controlling</w:t>
            </w: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2"/>
        </w:trPr>
        <w:tc>
          <w:tcPr>
            <w:tcW w:w="4020" w:type="dxa"/>
            <w:vAlign w:val="bottom"/>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0" w:type="dxa"/>
            <w:vAlign w:val="bottom"/>
            <w:gridSpan w:val="2"/>
            <w:vMerge w:val="restart"/>
          </w:tcPr>
          <w:p>
            <w:pPr>
              <w:jc w:val="center"/>
              <w:ind w:right="180"/>
              <w:spacing w:after="0" w:line="103" w:lineRule="exact"/>
              <w:rPr>
                <w:sz w:val="20"/>
                <w:szCs w:val="20"/>
                <w:color w:val="auto"/>
              </w:rPr>
            </w:pPr>
            <w:r>
              <w:rPr>
                <w:rFonts w:ascii="Times New Roman" w:cs="Times New Roman" w:eastAsia="Times New Roman" w:hAnsi="Times New Roman"/>
                <w:sz w:val="11"/>
                <w:szCs w:val="11"/>
                <w:b w:val="1"/>
                <w:bCs w:val="1"/>
                <w:color w:val="auto"/>
              </w:rPr>
              <w:t>Paid-in</w:t>
            </w:r>
          </w:p>
        </w:tc>
        <w:tc>
          <w:tcPr>
            <w:tcW w:w="100" w:type="dxa"/>
            <w:vAlign w:val="bottom"/>
          </w:tcPr>
          <w:p>
            <w:pPr>
              <w:spacing w:after="0"/>
              <w:rPr>
                <w:sz w:val="4"/>
                <w:szCs w:val="4"/>
                <w:color w:val="auto"/>
              </w:rPr>
            </w:pPr>
          </w:p>
        </w:tc>
        <w:tc>
          <w:tcPr>
            <w:tcW w:w="1020" w:type="dxa"/>
            <w:vAlign w:val="bottom"/>
            <w:gridSpan w:val="2"/>
            <w:vMerge w:val="restart"/>
          </w:tcPr>
          <w:p>
            <w:pPr>
              <w:jc w:val="center"/>
              <w:ind w:right="180"/>
              <w:spacing w:after="0" w:line="103" w:lineRule="exact"/>
              <w:rPr>
                <w:sz w:val="20"/>
                <w:szCs w:val="20"/>
                <w:color w:val="auto"/>
              </w:rPr>
            </w:pPr>
            <w:r>
              <w:rPr>
                <w:rFonts w:ascii="Times New Roman" w:cs="Times New Roman" w:eastAsia="Times New Roman" w:hAnsi="Times New Roman"/>
                <w:sz w:val="11"/>
                <w:szCs w:val="11"/>
                <w:b w:val="1"/>
                <w:bCs w:val="1"/>
                <w:color w:val="auto"/>
              </w:rPr>
              <w:t>Comprehensive</w:t>
            </w:r>
          </w:p>
        </w:tc>
        <w:tc>
          <w:tcPr>
            <w:tcW w:w="140" w:type="dxa"/>
            <w:vAlign w:val="bottom"/>
          </w:tcPr>
          <w:p>
            <w:pPr>
              <w:spacing w:after="0"/>
              <w:rPr>
                <w:sz w:val="4"/>
                <w:szCs w:val="4"/>
                <w:color w:val="auto"/>
              </w:rPr>
            </w:pPr>
          </w:p>
        </w:tc>
        <w:tc>
          <w:tcPr>
            <w:tcW w:w="840" w:type="dxa"/>
            <w:vAlign w:val="bottom"/>
            <w:gridSpan w:val="2"/>
            <w:vMerge w:val="restart"/>
          </w:tcPr>
          <w:p>
            <w:pPr>
              <w:ind w:left="60"/>
              <w:spacing w:after="0" w:line="103" w:lineRule="exact"/>
              <w:rPr>
                <w:sz w:val="20"/>
                <w:szCs w:val="20"/>
                <w:color w:val="auto"/>
              </w:rPr>
            </w:pPr>
            <w:r>
              <w:rPr>
                <w:rFonts w:ascii="Times New Roman" w:cs="Times New Roman" w:eastAsia="Times New Roman" w:hAnsi="Times New Roman"/>
                <w:sz w:val="11"/>
                <w:szCs w:val="11"/>
                <w:b w:val="1"/>
                <w:bCs w:val="1"/>
                <w:color w:val="auto"/>
              </w:rPr>
              <w:t>Retained</w:t>
            </w:r>
          </w:p>
        </w:tc>
        <w:tc>
          <w:tcPr>
            <w:tcW w:w="120" w:type="dxa"/>
            <w:vAlign w:val="bottom"/>
          </w:tcPr>
          <w:p>
            <w:pPr>
              <w:spacing w:after="0"/>
              <w:rPr>
                <w:sz w:val="4"/>
                <w:szCs w:val="4"/>
                <w:color w:val="auto"/>
              </w:rPr>
            </w:pPr>
          </w:p>
        </w:tc>
        <w:tc>
          <w:tcPr>
            <w:tcW w:w="1220" w:type="dxa"/>
            <w:vAlign w:val="bottom"/>
            <w:gridSpan w:val="2"/>
            <w:vMerge w:val="restart"/>
          </w:tcPr>
          <w:p>
            <w:pPr>
              <w:jc w:val="center"/>
              <w:ind w:right="280"/>
              <w:spacing w:after="0" w:line="103" w:lineRule="exact"/>
              <w:rPr>
                <w:sz w:val="20"/>
                <w:szCs w:val="20"/>
                <w:color w:val="auto"/>
              </w:rPr>
            </w:pPr>
            <w:r>
              <w:rPr>
                <w:rFonts w:ascii="Times New Roman" w:cs="Times New Roman" w:eastAsia="Times New Roman" w:hAnsi="Times New Roman"/>
                <w:sz w:val="11"/>
                <w:szCs w:val="11"/>
                <w:b w:val="1"/>
                <w:bCs w:val="1"/>
                <w:color w:val="auto"/>
              </w:rPr>
              <w:t>Interests—</w:t>
            </w:r>
          </w:p>
        </w:tc>
        <w:tc>
          <w:tcPr>
            <w:tcW w:w="220" w:type="dxa"/>
            <w:vAlign w:val="bottom"/>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
        </w:trPr>
        <w:tc>
          <w:tcPr>
            <w:tcW w:w="4020" w:type="dxa"/>
            <w:vAlign w:val="bottom"/>
          </w:tcPr>
          <w:p>
            <w:pPr>
              <w:spacing w:after="0"/>
              <w:rPr>
                <w:sz w:val="2"/>
                <w:szCs w:val="2"/>
                <w:color w:val="auto"/>
              </w:rPr>
            </w:pPr>
          </w:p>
        </w:tc>
        <w:tc>
          <w:tcPr>
            <w:tcW w:w="1120" w:type="dxa"/>
            <w:vAlign w:val="bottom"/>
            <w:gridSpan w:val="2"/>
            <w:vMerge w:val="restart"/>
          </w:tcPr>
          <w:p>
            <w:pPr>
              <w:ind w:left="32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00" w:type="dxa"/>
            <w:vAlign w:val="bottom"/>
          </w:tcPr>
          <w:p>
            <w:pPr>
              <w:spacing w:after="0"/>
              <w:rPr>
                <w:sz w:val="2"/>
                <w:szCs w:val="2"/>
                <w:color w:val="auto"/>
              </w:rPr>
            </w:pPr>
          </w:p>
        </w:tc>
        <w:tc>
          <w:tcPr>
            <w:tcW w:w="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80" w:type="dxa"/>
            <w:vAlign w:val="bottom"/>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gridSpan w:val="2"/>
            <w:vMerge w:val="continue"/>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vMerge w:val="restart"/>
          </w:tcPr>
          <w:p>
            <w:pPr>
              <w:jc w:val="right"/>
              <w:ind w:right="28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line="20" w:lineRule="exact"/>
              <w:rPr>
                <w:sz w:val="1"/>
                <w:szCs w:val="1"/>
                <w:color w:val="auto"/>
              </w:rPr>
            </w:pPr>
          </w:p>
        </w:tc>
      </w:tr>
      <w:tr>
        <w:trPr>
          <w:trHeight w:val="163"/>
        </w:trPr>
        <w:tc>
          <w:tcPr>
            <w:tcW w:w="402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9"/>
              </w:rPr>
              <w:t>Capital</w:t>
            </w:r>
          </w:p>
        </w:tc>
        <w:tc>
          <w:tcPr>
            <w:tcW w:w="100" w:type="dxa"/>
            <w:vAlign w:val="bottom"/>
          </w:tcPr>
          <w:p>
            <w:pPr>
              <w:spacing w:after="0"/>
              <w:rPr>
                <w:sz w:val="14"/>
                <w:szCs w:val="14"/>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9"/>
              </w:rPr>
              <w:t>(Loss) Income</w:t>
            </w:r>
          </w:p>
        </w:tc>
        <w:tc>
          <w:tcPr>
            <w:tcW w:w="140" w:type="dxa"/>
            <w:vAlign w:val="bottom"/>
          </w:tcPr>
          <w:p>
            <w:pPr>
              <w:spacing w:after="0"/>
              <w:rPr>
                <w:sz w:val="14"/>
                <w:szCs w:val="14"/>
                <w:color w:val="auto"/>
              </w:rPr>
            </w:pPr>
          </w:p>
        </w:tc>
        <w:tc>
          <w:tcPr>
            <w:tcW w:w="840" w:type="dxa"/>
            <w:vAlign w:val="bottom"/>
            <w:gridSpan w:val="2"/>
          </w:tcPr>
          <w:p>
            <w:pPr>
              <w:ind w:left="120"/>
              <w:spacing w:after="0"/>
              <w:rPr>
                <w:sz w:val="20"/>
                <w:szCs w:val="20"/>
                <w:color w:val="auto"/>
              </w:rPr>
            </w:pPr>
            <w:r>
              <w:rPr>
                <w:rFonts w:ascii="Times New Roman" w:cs="Times New Roman" w:eastAsia="Times New Roman" w:hAnsi="Times New Roman"/>
                <w:sz w:val="12"/>
                <w:szCs w:val="12"/>
                <w:b w:val="1"/>
                <w:bCs w:val="1"/>
                <w:color w:val="auto"/>
              </w:rPr>
              <w:t>Deficit</w:t>
            </w:r>
          </w:p>
        </w:tc>
        <w:tc>
          <w:tcPr>
            <w:tcW w:w="12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9"/>
              </w:rPr>
              <w:t>Non-Redeemable</w:t>
            </w:r>
          </w:p>
        </w:tc>
        <w:tc>
          <w:tcPr>
            <w:tcW w:w="22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4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Balance as of December 31, 2022</w:t>
            </w:r>
          </w:p>
        </w:tc>
        <w:tc>
          <w:tcPr>
            <w:tcW w:w="980" w:type="dxa"/>
            <w:vAlign w:val="bottom"/>
            <w:tcBorders>
              <w:top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125,961</w:t>
            </w:r>
          </w:p>
        </w:tc>
        <w:tc>
          <w:tcPr>
            <w:tcW w:w="1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w:t>
            </w:r>
          </w:p>
        </w:tc>
        <w:tc>
          <w:tcPr>
            <w:tcW w:w="1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2,478.0</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76.2</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(557.3)</w:t>
            </w:r>
          </w:p>
        </w:tc>
        <w:tc>
          <w:tcPr>
            <w:tcW w:w="1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942.7</w:t>
            </w:r>
          </w:p>
        </w:tc>
        <w:tc>
          <w:tcPr>
            <w:tcW w:w="1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2,940.9</w:t>
            </w:r>
          </w:p>
        </w:tc>
        <w:tc>
          <w:tcPr>
            <w:tcW w:w="0" w:type="dxa"/>
            <w:vAlign w:val="bottom"/>
          </w:tcPr>
          <w:p>
            <w:pPr>
              <w:spacing w:after="0"/>
              <w:rPr>
                <w:sz w:val="1"/>
                <w:szCs w:val="1"/>
                <w:color w:val="auto"/>
              </w:rPr>
            </w:pPr>
          </w:p>
        </w:tc>
      </w:tr>
      <w:tr>
        <w:trPr>
          <w:trHeight w:val="161"/>
        </w:trPr>
        <w:tc>
          <w:tcPr>
            <w:tcW w:w="402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Net (loss) income</w:t>
            </w: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(11.9)</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109.4</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97.5</w:t>
            </w:r>
          </w:p>
        </w:tc>
        <w:tc>
          <w:tcPr>
            <w:tcW w:w="0" w:type="dxa"/>
            <w:vAlign w:val="bottom"/>
          </w:tcPr>
          <w:p>
            <w:pPr>
              <w:spacing w:after="0"/>
              <w:rPr>
                <w:sz w:val="1"/>
                <w:szCs w:val="1"/>
                <w:color w:val="auto"/>
              </w:rPr>
            </w:pPr>
          </w:p>
        </w:tc>
      </w:tr>
      <w:tr>
        <w:trPr>
          <w:trHeight w:val="174"/>
        </w:trPr>
        <w:tc>
          <w:tcPr>
            <w:tcW w:w="4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Equity-based compensation</w:t>
            </w:r>
          </w:p>
        </w:tc>
        <w:tc>
          <w:tcPr>
            <w:tcW w:w="98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633</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18.5</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18.5</w:t>
            </w:r>
          </w:p>
        </w:tc>
        <w:tc>
          <w:tcPr>
            <w:tcW w:w="0" w:type="dxa"/>
            <w:vAlign w:val="bottom"/>
          </w:tcPr>
          <w:p>
            <w:pPr>
              <w:spacing w:after="0"/>
              <w:rPr>
                <w:sz w:val="1"/>
                <w:szCs w:val="1"/>
                <w:color w:val="auto"/>
              </w:rPr>
            </w:pPr>
          </w:p>
        </w:tc>
      </w:tr>
      <w:tr>
        <w:trPr>
          <w:trHeight w:val="161"/>
        </w:trPr>
        <w:tc>
          <w:tcPr>
            <w:tcW w:w="402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Other comprehensive loss</w:t>
            </w: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(18.7)</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ind w:left="5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(18.7)</w:t>
            </w:r>
          </w:p>
        </w:tc>
        <w:tc>
          <w:tcPr>
            <w:tcW w:w="0" w:type="dxa"/>
            <w:vAlign w:val="bottom"/>
          </w:tcPr>
          <w:p>
            <w:pPr>
              <w:spacing w:after="0"/>
              <w:rPr>
                <w:sz w:val="1"/>
                <w:szCs w:val="1"/>
                <w:color w:val="auto"/>
              </w:rPr>
            </w:pPr>
          </w:p>
        </w:tc>
      </w:tr>
      <w:tr>
        <w:trPr>
          <w:trHeight w:val="174"/>
        </w:trPr>
        <w:tc>
          <w:tcPr>
            <w:tcW w:w="4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Acquisition and disposal of shares of non-controlling interests, net</w:t>
            </w: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98.2</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99.3</w:t>
            </w:r>
          </w:p>
        </w:tc>
        <w:tc>
          <w:tcPr>
            <w:tcW w:w="0" w:type="dxa"/>
            <w:vAlign w:val="bottom"/>
          </w:tcPr>
          <w:p>
            <w:pPr>
              <w:spacing w:after="0"/>
              <w:rPr>
                <w:sz w:val="1"/>
                <w:szCs w:val="1"/>
                <w:color w:val="auto"/>
              </w:rPr>
            </w:pPr>
          </w:p>
        </w:tc>
      </w:tr>
      <w:tr>
        <w:trPr>
          <w:trHeight w:val="161"/>
        </w:trPr>
        <w:tc>
          <w:tcPr>
            <w:tcW w:w="402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Distributions to non-controlling interests—non-redeemable holders</w:t>
            </w: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840" w:type="dxa"/>
            <w:vAlign w:val="bottom"/>
            <w:gridSpan w:val="2"/>
          </w:tcPr>
          <w:p>
            <w:pPr>
              <w:ind w:left="5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(103.0)</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(103.0)</w:t>
            </w:r>
          </w:p>
        </w:tc>
        <w:tc>
          <w:tcPr>
            <w:tcW w:w="0" w:type="dxa"/>
            <w:vAlign w:val="bottom"/>
          </w:tcPr>
          <w:p>
            <w:pPr>
              <w:spacing w:after="0"/>
              <w:rPr>
                <w:sz w:val="1"/>
                <w:szCs w:val="1"/>
                <w:color w:val="auto"/>
              </w:rPr>
            </w:pPr>
          </w:p>
        </w:tc>
      </w:tr>
      <w:tr>
        <w:trPr>
          <w:trHeight w:val="167"/>
        </w:trPr>
        <w:tc>
          <w:tcPr>
            <w:tcW w:w="4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Balance as of December 31, 2023</w:t>
            </w:r>
          </w:p>
        </w:tc>
        <w:tc>
          <w:tcPr>
            <w:tcW w:w="980" w:type="dxa"/>
            <w:vAlign w:val="bottom"/>
            <w:tcBorders>
              <w:top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126,594</w:t>
            </w:r>
          </w:p>
        </w:tc>
        <w:tc>
          <w:tcPr>
            <w:tcW w:w="1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w:t>
            </w:r>
          </w:p>
        </w:tc>
        <w:tc>
          <w:tcPr>
            <w:tcW w:w="1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2,497.6</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57.5</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(569.2)</w:t>
            </w:r>
          </w:p>
        </w:tc>
        <w:tc>
          <w:tcPr>
            <w:tcW w:w="1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1,047.3</w:t>
            </w:r>
          </w:p>
        </w:tc>
        <w:tc>
          <w:tcPr>
            <w:tcW w:w="1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3,034.5</w:t>
            </w:r>
          </w:p>
        </w:tc>
        <w:tc>
          <w:tcPr>
            <w:tcW w:w="0" w:type="dxa"/>
            <w:vAlign w:val="bottom"/>
          </w:tcPr>
          <w:p>
            <w:pPr>
              <w:spacing w:after="0"/>
              <w:rPr>
                <w:sz w:val="1"/>
                <w:szCs w:val="1"/>
                <w:color w:val="auto"/>
              </w:rPr>
            </w:pPr>
          </w:p>
        </w:tc>
      </w:tr>
      <w:tr>
        <w:trPr>
          <w:trHeight w:val="161"/>
        </w:trPr>
        <w:tc>
          <w:tcPr>
            <w:tcW w:w="402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Net (loss) income</w:t>
            </w: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(168.1)</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143.8</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(24.3)</w:t>
            </w:r>
          </w:p>
        </w:tc>
        <w:tc>
          <w:tcPr>
            <w:tcW w:w="0" w:type="dxa"/>
            <w:vAlign w:val="bottom"/>
          </w:tcPr>
          <w:p>
            <w:pPr>
              <w:spacing w:after="0"/>
              <w:rPr>
                <w:sz w:val="1"/>
                <w:szCs w:val="1"/>
                <w:color w:val="auto"/>
              </w:rPr>
            </w:pPr>
          </w:p>
        </w:tc>
      </w:tr>
      <w:tr>
        <w:trPr>
          <w:trHeight w:val="174"/>
        </w:trPr>
        <w:tc>
          <w:tcPr>
            <w:tcW w:w="4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Equity-based compensation</w:t>
            </w:r>
          </w:p>
        </w:tc>
        <w:tc>
          <w:tcPr>
            <w:tcW w:w="98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515</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33.5</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33.5</w:t>
            </w:r>
          </w:p>
        </w:tc>
        <w:tc>
          <w:tcPr>
            <w:tcW w:w="0" w:type="dxa"/>
            <w:vAlign w:val="bottom"/>
          </w:tcPr>
          <w:p>
            <w:pPr>
              <w:spacing w:after="0"/>
              <w:rPr>
                <w:sz w:val="1"/>
                <w:szCs w:val="1"/>
                <w:color w:val="auto"/>
              </w:rPr>
            </w:pPr>
          </w:p>
        </w:tc>
      </w:tr>
      <w:tr>
        <w:trPr>
          <w:trHeight w:val="161"/>
        </w:trPr>
        <w:tc>
          <w:tcPr>
            <w:tcW w:w="402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Other comprehensive loss</w:t>
            </w: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(52.7)</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ind w:left="5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(52.7)</w:t>
            </w:r>
          </w:p>
        </w:tc>
        <w:tc>
          <w:tcPr>
            <w:tcW w:w="0" w:type="dxa"/>
            <w:vAlign w:val="bottom"/>
          </w:tcPr>
          <w:p>
            <w:pPr>
              <w:spacing w:after="0"/>
              <w:rPr>
                <w:sz w:val="1"/>
                <w:szCs w:val="1"/>
                <w:color w:val="auto"/>
              </w:rPr>
            </w:pPr>
          </w:p>
        </w:tc>
      </w:tr>
      <w:tr>
        <w:trPr>
          <w:trHeight w:val="174"/>
        </w:trPr>
        <w:tc>
          <w:tcPr>
            <w:tcW w:w="4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Acquisition and disposal of shares of non-controlling interests, net</w:t>
            </w: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(10.2)</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342.6</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332.4</w:t>
            </w:r>
          </w:p>
        </w:tc>
        <w:tc>
          <w:tcPr>
            <w:tcW w:w="0" w:type="dxa"/>
            <w:vAlign w:val="bottom"/>
          </w:tcPr>
          <w:p>
            <w:pPr>
              <w:spacing w:after="0"/>
              <w:rPr>
                <w:sz w:val="1"/>
                <w:szCs w:val="1"/>
                <w:color w:val="auto"/>
              </w:rPr>
            </w:pPr>
          </w:p>
        </w:tc>
      </w:tr>
      <w:tr>
        <w:trPr>
          <w:trHeight w:val="161"/>
        </w:trPr>
        <w:tc>
          <w:tcPr>
            <w:tcW w:w="402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Distributions to non-controlling interests—non-redeemable holders</w:t>
            </w: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840" w:type="dxa"/>
            <w:vAlign w:val="bottom"/>
            <w:gridSpan w:val="2"/>
          </w:tcPr>
          <w:p>
            <w:pPr>
              <w:ind w:left="5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(127.0)</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(127.0)</w:t>
            </w:r>
          </w:p>
        </w:tc>
        <w:tc>
          <w:tcPr>
            <w:tcW w:w="0" w:type="dxa"/>
            <w:vAlign w:val="bottom"/>
          </w:tcPr>
          <w:p>
            <w:pPr>
              <w:spacing w:after="0"/>
              <w:rPr>
                <w:sz w:val="1"/>
                <w:szCs w:val="1"/>
                <w:color w:val="auto"/>
              </w:rPr>
            </w:pPr>
          </w:p>
        </w:tc>
      </w:tr>
      <w:tr>
        <w:trPr>
          <w:trHeight w:val="167"/>
        </w:trPr>
        <w:tc>
          <w:tcPr>
            <w:tcW w:w="4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Balance as of December 31, 2024</w:t>
            </w:r>
          </w:p>
        </w:tc>
        <w:tc>
          <w:tcPr>
            <w:tcW w:w="980" w:type="dxa"/>
            <w:vAlign w:val="bottom"/>
            <w:tcBorders>
              <w:top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127,109</w:t>
            </w:r>
          </w:p>
        </w:tc>
        <w:tc>
          <w:tcPr>
            <w:tcW w:w="1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w:t>
            </w:r>
          </w:p>
        </w:tc>
        <w:tc>
          <w:tcPr>
            <w:tcW w:w="1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2,520.9</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(737.3)</w:t>
            </w:r>
          </w:p>
        </w:tc>
        <w:tc>
          <w:tcPr>
            <w:tcW w:w="1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1,406.7</w:t>
            </w:r>
          </w:p>
        </w:tc>
        <w:tc>
          <w:tcPr>
            <w:tcW w:w="1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3,196.4</w:t>
            </w:r>
          </w:p>
        </w:tc>
        <w:tc>
          <w:tcPr>
            <w:tcW w:w="0" w:type="dxa"/>
            <w:vAlign w:val="bottom"/>
          </w:tcPr>
          <w:p>
            <w:pPr>
              <w:spacing w:after="0"/>
              <w:rPr>
                <w:sz w:val="1"/>
                <w:szCs w:val="1"/>
                <w:color w:val="auto"/>
              </w:rPr>
            </w:pPr>
          </w:p>
        </w:tc>
      </w:tr>
      <w:tr>
        <w:trPr>
          <w:trHeight w:val="161"/>
        </w:trPr>
        <w:tc>
          <w:tcPr>
            <w:tcW w:w="402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Net (loss) income</w:t>
            </w: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(77.9)</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159.6</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81.7</w:t>
            </w:r>
          </w:p>
        </w:tc>
        <w:tc>
          <w:tcPr>
            <w:tcW w:w="0" w:type="dxa"/>
            <w:vAlign w:val="bottom"/>
          </w:tcPr>
          <w:p>
            <w:pPr>
              <w:spacing w:after="0"/>
              <w:rPr>
                <w:sz w:val="1"/>
                <w:szCs w:val="1"/>
                <w:color w:val="auto"/>
              </w:rPr>
            </w:pPr>
          </w:p>
        </w:tc>
      </w:tr>
      <w:tr>
        <w:trPr>
          <w:trHeight w:val="174"/>
        </w:trPr>
        <w:tc>
          <w:tcPr>
            <w:tcW w:w="4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Equity-based compensation</w:t>
            </w:r>
          </w:p>
        </w:tc>
        <w:tc>
          <w:tcPr>
            <w:tcW w:w="98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2,212</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26.2</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26.2</w:t>
            </w:r>
          </w:p>
        </w:tc>
        <w:tc>
          <w:tcPr>
            <w:tcW w:w="0" w:type="dxa"/>
            <w:vAlign w:val="bottom"/>
          </w:tcPr>
          <w:p>
            <w:pPr>
              <w:spacing w:after="0"/>
              <w:rPr>
                <w:sz w:val="1"/>
                <w:szCs w:val="1"/>
                <w:color w:val="auto"/>
              </w:rPr>
            </w:pPr>
          </w:p>
        </w:tc>
      </w:tr>
      <w:tr>
        <w:trPr>
          <w:trHeight w:val="161"/>
        </w:trPr>
        <w:tc>
          <w:tcPr>
            <w:tcW w:w="402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Other comprehensive loss</w:t>
            </w: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(18.6)</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ind w:left="5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(18.6)</w:t>
            </w:r>
          </w:p>
        </w:tc>
        <w:tc>
          <w:tcPr>
            <w:tcW w:w="0" w:type="dxa"/>
            <w:vAlign w:val="bottom"/>
          </w:tcPr>
          <w:p>
            <w:pPr>
              <w:spacing w:after="0"/>
              <w:rPr>
                <w:sz w:val="1"/>
                <w:szCs w:val="1"/>
                <w:color w:val="auto"/>
              </w:rPr>
            </w:pPr>
          </w:p>
        </w:tc>
      </w:tr>
      <w:tr>
        <w:trPr>
          <w:trHeight w:val="174"/>
        </w:trPr>
        <w:tc>
          <w:tcPr>
            <w:tcW w:w="4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Acquisition and disposal of shares of non-controlling interests, net</w:t>
            </w: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31.6</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25.1</w:t>
            </w:r>
          </w:p>
        </w:tc>
        <w:tc>
          <w:tcPr>
            <w:tcW w:w="0" w:type="dxa"/>
            <w:vAlign w:val="bottom"/>
          </w:tcPr>
          <w:p>
            <w:pPr>
              <w:spacing w:after="0"/>
              <w:rPr>
                <w:sz w:val="1"/>
                <w:szCs w:val="1"/>
                <w:color w:val="auto"/>
              </w:rPr>
            </w:pPr>
          </w:p>
        </w:tc>
      </w:tr>
      <w:tr>
        <w:trPr>
          <w:trHeight w:val="161"/>
        </w:trPr>
        <w:tc>
          <w:tcPr>
            <w:tcW w:w="402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Distributions to non-controlling interests—non-redeemable holders</w:t>
            </w: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840" w:type="dxa"/>
            <w:vAlign w:val="bottom"/>
            <w:gridSpan w:val="2"/>
          </w:tcPr>
          <w:p>
            <w:pPr>
              <w:ind w:left="5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(179.5)</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(179.5)</w:t>
            </w:r>
          </w:p>
        </w:tc>
        <w:tc>
          <w:tcPr>
            <w:tcW w:w="0" w:type="dxa"/>
            <w:vAlign w:val="bottom"/>
          </w:tcPr>
          <w:p>
            <w:pPr>
              <w:spacing w:after="0"/>
              <w:rPr>
                <w:sz w:val="1"/>
                <w:szCs w:val="1"/>
                <w:color w:val="auto"/>
              </w:rPr>
            </w:pPr>
          </w:p>
        </w:tc>
      </w:tr>
      <w:tr>
        <w:trPr>
          <w:trHeight w:val="192"/>
        </w:trPr>
        <w:tc>
          <w:tcPr>
            <w:tcW w:w="4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Balance as of December 31, 2025</w:t>
            </w:r>
          </w:p>
        </w:tc>
        <w:tc>
          <w:tcPr>
            <w:tcW w:w="980" w:type="dxa"/>
            <w:vAlign w:val="bottom"/>
            <w:tcBorders>
              <w:top w:val="single" w:sz="8" w:color="auto"/>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129,321</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2,540.6</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(13.8)</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(815.2)</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1,418.4</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3,131.3</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1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2"/>
          <w:szCs w:val="12"/>
          <w:b w:val="1"/>
          <w:bCs w:val="1"/>
          <w:u w:val="single" w:color="auto"/>
          <w:color w:val="0000FF"/>
        </w:rPr>
        <w:t>Table of Contents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SURGERY PARTNERS, INC.</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CASH FLOWS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(Unaudited, dollars in millions)</w:t>
      </w:r>
    </w:p>
    <w:p>
      <w:pPr>
        <w:spacing w:after="0" w:line="200" w:lineRule="exact"/>
        <w:rPr>
          <w:sz w:val="20"/>
          <w:szCs w:val="20"/>
          <w:color w:val="auto"/>
        </w:rPr>
      </w:pPr>
    </w:p>
    <w:p>
      <w:pPr>
        <w:spacing w:after="0" w:line="269" w:lineRule="exact"/>
        <w:rPr>
          <w:sz w:val="20"/>
          <w:szCs w:val="20"/>
          <w:color w:val="auto"/>
        </w:rPr>
      </w:pPr>
    </w:p>
    <w:tbl>
      <w:tblPr>
        <w:tblLayout w:type="fixed"/>
        <w:tblInd w:w="20" w:type="dxa"/>
        <w:tblCellMar>
          <w:top w:w="0" w:type="dxa"/>
          <w:left w:w="0" w:type="dxa"/>
          <w:bottom w:w="0" w:type="dxa"/>
          <w:right w:w="0" w:type="dxa"/>
        </w:tblCellMar>
      </w:tblPr>
      <w:tr>
        <w:trPr>
          <w:trHeight w:val="182"/>
        </w:trPr>
        <w:tc>
          <w:tcPr>
            <w:tcW w:w="7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60" w:type="dxa"/>
            <w:vAlign w:val="bottom"/>
            <w:gridSpan w:val="6"/>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80" w:type="dxa"/>
            <w:vAlign w:val="bottom"/>
          </w:tcPr>
          <w:p>
            <w:pPr>
              <w:spacing w:after="0"/>
              <w:rPr>
                <w:sz w:val="15"/>
                <w:szCs w:val="15"/>
                <w:color w:val="auto"/>
              </w:rPr>
            </w:pPr>
          </w:p>
        </w:tc>
      </w:tr>
      <w:tr>
        <w:trPr>
          <w:trHeight w:val="22"/>
        </w:trPr>
        <w:tc>
          <w:tcPr>
            <w:tcW w:w="7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81"/>
        </w:trPr>
        <w:tc>
          <w:tcPr>
            <w:tcW w:w="76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89"/>
        </w:trPr>
        <w:tc>
          <w:tcPr>
            <w:tcW w:w="7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880" w:type="dxa"/>
            <w:vAlign w:val="bottom"/>
          </w:tcPr>
          <w:p>
            <w:pPr>
              <w:spacing w:after="0"/>
              <w:rPr>
                <w:sz w:val="7"/>
                <w:szCs w:val="7"/>
                <w:color w:val="auto"/>
              </w:rPr>
            </w:pPr>
          </w:p>
        </w:tc>
      </w:tr>
      <w:tr>
        <w:trPr>
          <w:trHeight w:val="193"/>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r>
      <w:tr>
        <w:trPr>
          <w:trHeight w:val="186"/>
        </w:trPr>
        <w:tc>
          <w:tcPr>
            <w:tcW w:w="7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26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98.9</w:t>
            </w:r>
          </w:p>
        </w:tc>
        <w:tc>
          <w:tcPr>
            <w:tcW w:w="100" w:type="dxa"/>
            <w:vAlign w:val="bottom"/>
          </w:tcPr>
          <w:p>
            <w:pPr>
              <w:spacing w:after="0"/>
              <w:rPr>
                <w:sz w:val="16"/>
                <w:szCs w:val="16"/>
                <w:color w:val="auto"/>
              </w:rPr>
            </w:pPr>
          </w:p>
        </w:tc>
        <w:tc>
          <w:tcPr>
            <w:tcW w:w="2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100" w:type="dxa"/>
            <w:vAlign w:val="bottom"/>
          </w:tcPr>
          <w:p>
            <w:pPr>
              <w:spacing w:after="0"/>
              <w:rPr>
                <w:sz w:val="16"/>
                <w:szCs w:val="16"/>
                <w:color w:val="auto"/>
              </w:rPr>
            </w:pPr>
          </w:p>
        </w:tc>
        <w:tc>
          <w:tcPr>
            <w:tcW w:w="26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135.3</w:t>
            </w:r>
          </w:p>
        </w:tc>
      </w:tr>
      <w:tr>
        <w:trPr>
          <w:trHeight w:val="201"/>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186"/>
        </w:trPr>
        <w:tc>
          <w:tcPr>
            <w:tcW w:w="76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118.1</w:t>
            </w:r>
          </w:p>
        </w:tc>
      </w:tr>
      <w:tr>
        <w:trPr>
          <w:trHeight w:val="201"/>
        </w:trPr>
        <w:tc>
          <w:tcPr>
            <w:tcW w:w="7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Non-cash lease expense</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38.9</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35.2</w:t>
            </w:r>
          </w:p>
        </w:tc>
      </w:tr>
      <w:tr>
        <w:trPr>
          <w:trHeight w:val="186"/>
        </w:trPr>
        <w:tc>
          <w:tcPr>
            <w:tcW w:w="76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Non-cash interest expense, net</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25.0</w:t>
            </w:r>
          </w:p>
        </w:tc>
      </w:tr>
      <w:tr>
        <w:trPr>
          <w:trHeight w:val="201"/>
        </w:trPr>
        <w:tc>
          <w:tcPr>
            <w:tcW w:w="7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Equity-based compensation expense</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17.7</w:t>
            </w:r>
          </w:p>
        </w:tc>
      </w:tr>
      <w:tr>
        <w:trPr>
          <w:trHeight w:val="186"/>
        </w:trPr>
        <w:tc>
          <w:tcPr>
            <w:tcW w:w="76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Net loss on disposals, consolidations and deconsolidations</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14.4</w:t>
            </w:r>
          </w:p>
        </w:tc>
      </w:tr>
      <w:tr>
        <w:trPr>
          <w:trHeight w:val="201"/>
        </w:trPr>
        <w:tc>
          <w:tcPr>
            <w:tcW w:w="7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Loss on debt extinguishment</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15.5</w:t>
            </w:r>
          </w:p>
        </w:tc>
      </w:tr>
      <w:tr>
        <w:trPr>
          <w:trHeight w:val="186"/>
        </w:trPr>
        <w:tc>
          <w:tcPr>
            <w:tcW w:w="76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Deferred income taxes</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r>
      <w:tr>
        <w:trPr>
          <w:trHeight w:val="201"/>
        </w:trPr>
        <w:tc>
          <w:tcPr>
            <w:tcW w:w="7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Equity in earnings of unconsolidated affiliates, net of distributions received</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r>
      <w:tr>
        <w:trPr>
          <w:trHeight w:val="186"/>
        </w:trPr>
        <w:tc>
          <w:tcPr>
            <w:tcW w:w="7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Changes in operating assets and liabilities, net of acquisitions and divestitures:</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01"/>
        </w:trPr>
        <w:tc>
          <w:tcPr>
            <w:tcW w:w="7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Accounts receivable</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(72.1)</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(47.2)</w:t>
            </w:r>
          </w:p>
        </w:tc>
      </w:tr>
      <w:tr>
        <w:trPr>
          <w:trHeight w:val="186"/>
        </w:trPr>
        <w:tc>
          <w:tcPr>
            <w:tcW w:w="76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Other operating assets and liabilities</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(56.6)</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(46.8)</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(16.3)</w:t>
            </w:r>
          </w:p>
        </w:tc>
      </w:tr>
      <w:tr>
        <w:trPr>
          <w:trHeight w:val="186"/>
        </w:trPr>
        <w:tc>
          <w:tcPr>
            <w:tcW w:w="76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2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274.3</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300.1</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293.8</w:t>
            </w:r>
          </w:p>
        </w:tc>
      </w:tr>
      <w:tr>
        <w:trPr>
          <w:trHeight w:val="90"/>
        </w:trPr>
        <w:tc>
          <w:tcPr>
            <w:tcW w:w="7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880" w:type="dxa"/>
            <w:vAlign w:val="bottom"/>
          </w:tcPr>
          <w:p>
            <w:pPr>
              <w:spacing w:after="0"/>
              <w:rPr>
                <w:sz w:val="7"/>
                <w:szCs w:val="7"/>
                <w:color w:val="auto"/>
              </w:rPr>
            </w:pPr>
          </w:p>
        </w:tc>
      </w:tr>
      <w:tr>
        <w:trPr>
          <w:trHeight w:val="193"/>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r>
      <w:tr>
        <w:trPr>
          <w:trHeight w:val="186"/>
        </w:trPr>
        <w:tc>
          <w:tcPr>
            <w:tcW w:w="7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(88.8)</w:t>
            </w:r>
          </w:p>
        </w:tc>
      </w:tr>
      <w:tr>
        <w:trPr>
          <w:trHeight w:val="201"/>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Payments for acquisitions, net of cash acquired</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(378.8)</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w:t>
            </w:r>
          </w:p>
        </w:tc>
      </w:tr>
      <w:tr>
        <w:trPr>
          <w:trHeight w:val="186"/>
        </w:trPr>
        <w:tc>
          <w:tcPr>
            <w:tcW w:w="7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Proceeds from disposals of facilities and other assets</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25.8</w:t>
            </w:r>
          </w:p>
        </w:tc>
      </w:tr>
      <w:tr>
        <w:trPr>
          <w:trHeight w:val="201"/>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Purchases of equity investments</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(50.3)</w:t>
            </w:r>
          </w:p>
        </w:tc>
      </w:tr>
      <w:tr>
        <w:trPr>
          <w:trHeight w:val="186"/>
        </w:trPr>
        <w:tc>
          <w:tcPr>
            <w:tcW w:w="7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Proceeds from sales of equity investments</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1.4</w:t>
            </w:r>
          </w:p>
        </w:tc>
      </w:tr>
      <w:tr>
        <w:trPr>
          <w:trHeight w:val="201"/>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investing activities</w:t>
            </w:r>
          </w:p>
        </w:tc>
        <w:tc>
          <w:tcPr>
            <w:tcW w:w="2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w:t>
            </w:r>
          </w:p>
        </w:tc>
      </w:tr>
      <w:tr>
        <w:trPr>
          <w:trHeight w:val="179"/>
        </w:trPr>
        <w:tc>
          <w:tcPr>
            <w:tcW w:w="762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(246.6)</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(488.5)</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(225.6)</w:t>
            </w:r>
          </w:p>
        </w:tc>
      </w:tr>
      <w:tr>
        <w:trPr>
          <w:trHeight w:val="90"/>
        </w:trPr>
        <w:tc>
          <w:tcPr>
            <w:tcW w:w="762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r>
      <w:tr>
        <w:trPr>
          <w:trHeight w:val="188"/>
        </w:trPr>
        <w:tc>
          <w:tcPr>
            <w:tcW w:w="76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99"/>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Principal payments on long-term debt</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(1,039.8)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(1,279.3)</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(807.1)</w:t>
            </w:r>
          </w:p>
        </w:tc>
      </w:tr>
      <w:tr>
        <w:trPr>
          <w:trHeight w:val="186"/>
        </w:trPr>
        <w:tc>
          <w:tcPr>
            <w:tcW w:w="7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Borrowings of long-term debt</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1,202.6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1,729.7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826.6</w:t>
            </w:r>
          </w:p>
        </w:tc>
      </w:tr>
      <w:tr>
        <w:trPr>
          <w:trHeight w:val="201"/>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Payments of debt issuance costs</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w:t>
            </w:r>
          </w:p>
        </w:tc>
      </w:tr>
      <w:tr>
        <w:trPr>
          <w:trHeight w:val="186"/>
        </w:trPr>
        <w:tc>
          <w:tcPr>
            <w:tcW w:w="7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Distributions to non-controlling interest holders</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(146.1)</w:t>
            </w:r>
          </w:p>
        </w:tc>
      </w:tr>
      <w:tr>
        <w:trPr>
          <w:trHeight w:val="201"/>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Proceeds (payments) related to ownership transactions with non-controlling interest holders</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8.2</w:t>
            </w:r>
          </w:p>
        </w:tc>
      </w:tr>
      <w:tr>
        <w:trPr>
          <w:trHeight w:val="186"/>
        </w:trPr>
        <w:tc>
          <w:tcPr>
            <w:tcW w:w="7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financing activities</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w:t>
            </w:r>
          </w:p>
        </w:tc>
      </w:tr>
      <w:tr>
        <w:trPr>
          <w:trHeight w:val="193"/>
        </w:trPr>
        <w:tc>
          <w:tcPr>
            <w:tcW w:w="76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Net cash (used in) provided by financing activities</w:t>
            </w:r>
          </w:p>
        </w:tc>
        <w:tc>
          <w:tcPr>
            <w:tcW w:w="2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(57.3)</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262.0</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(155.2)</w:t>
            </w:r>
          </w:p>
        </w:tc>
      </w:tr>
      <w:tr>
        <w:trPr>
          <w:trHeight w:val="179"/>
        </w:trPr>
        <w:tc>
          <w:tcPr>
            <w:tcW w:w="76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Net (decrease) increase in cash and cash equivalents</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(29.6)</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73.6</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(87.0)</w:t>
            </w:r>
          </w:p>
        </w:tc>
      </w:tr>
      <w:tr>
        <w:trPr>
          <w:trHeight w:val="194"/>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 at beginning of period</w:t>
            </w:r>
          </w:p>
        </w:tc>
        <w:tc>
          <w:tcPr>
            <w:tcW w:w="2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269.5</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195.9</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282.9</w:t>
            </w:r>
          </w:p>
        </w:tc>
      </w:tr>
      <w:tr>
        <w:trPr>
          <w:trHeight w:val="193"/>
        </w:trPr>
        <w:tc>
          <w:tcPr>
            <w:tcW w:w="7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 at end of period</w:t>
            </w:r>
          </w:p>
        </w:tc>
        <w:tc>
          <w:tcPr>
            <w:tcW w:w="26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239.9</w:t>
            </w:r>
          </w:p>
        </w:tc>
        <w:tc>
          <w:tcPr>
            <w:tcW w:w="100" w:type="dxa"/>
            <w:vAlign w:val="bottom"/>
          </w:tcPr>
          <w:p>
            <w:pPr>
              <w:spacing w:after="0"/>
              <w:rPr>
                <w:sz w:val="16"/>
                <w:szCs w:val="16"/>
                <w:color w:val="auto"/>
              </w:rPr>
            </w:pPr>
          </w:p>
        </w:tc>
        <w:tc>
          <w:tcPr>
            <w:tcW w:w="2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269.5</w:t>
            </w:r>
          </w:p>
        </w:tc>
        <w:tc>
          <w:tcPr>
            <w:tcW w:w="100" w:type="dxa"/>
            <w:vAlign w:val="bottom"/>
          </w:tcPr>
          <w:p>
            <w:pPr>
              <w:spacing w:after="0"/>
              <w:rPr>
                <w:sz w:val="16"/>
                <w:szCs w:val="16"/>
                <w:color w:val="auto"/>
              </w:rPr>
            </w:pPr>
          </w:p>
        </w:tc>
        <w:tc>
          <w:tcPr>
            <w:tcW w:w="26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195.9</w:t>
            </w:r>
          </w:p>
        </w:tc>
      </w:tr>
      <w:tr>
        <w:trPr>
          <w:trHeight w:val="20"/>
        </w:trPr>
        <w:tc>
          <w:tcPr>
            <w:tcW w:w="76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69"/>
        </w:trPr>
        <w:tc>
          <w:tcPr>
            <w:tcW w:w="762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r>
      <w:tr>
        <w:trPr>
          <w:trHeight w:val="261"/>
        </w:trPr>
        <w:tc>
          <w:tcPr>
            <w:tcW w:w="76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cash flow information:</w:t>
            </w: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100"/>
        </w:trPr>
        <w:tc>
          <w:tcPr>
            <w:tcW w:w="7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tcPr>
          <w:p>
            <w:pPr>
              <w:spacing w:after="0"/>
              <w:rPr>
                <w:sz w:val="8"/>
                <w:szCs w:val="8"/>
                <w:color w:val="auto"/>
              </w:rPr>
            </w:pPr>
          </w:p>
        </w:tc>
      </w:tr>
      <w:tr>
        <w:trPr>
          <w:trHeight w:val="193"/>
        </w:trPr>
        <w:tc>
          <w:tcPr>
            <w:tcW w:w="7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Interest paid, net of interest income received</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256.8</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199.7</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169.6</w:t>
            </w:r>
          </w:p>
        </w:tc>
      </w:tr>
      <w:tr>
        <w:trPr>
          <w:trHeight w:val="186"/>
        </w:trPr>
        <w:tc>
          <w:tcPr>
            <w:tcW w:w="76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Cash paid for income taxes</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1.4</w:t>
            </w:r>
          </w:p>
        </w:tc>
      </w:tr>
      <w:tr>
        <w:trPr>
          <w:trHeight w:val="201"/>
        </w:trPr>
        <w:tc>
          <w:tcPr>
            <w:tcW w:w="7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Non-cash purchases of property and equipment</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18.0</w:t>
            </w:r>
          </w:p>
        </w:tc>
      </w:tr>
    </w:tbl>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1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2"/>
          <w:szCs w:val="12"/>
          <w:b w:val="1"/>
          <w:bCs w:val="1"/>
          <w:u w:val="single" w:color="auto"/>
          <w:color w:val="0000FF"/>
        </w:rPr>
        <w:t>Table of Contents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SURGERY PARTNERS, INC.</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7720" w:firstLine="3"/>
        <w:spacing w:after="0" w:line="406" w:lineRule="auto"/>
        <w:tabs>
          <w:tab w:leader="none" w:pos="155" w:val="left"/>
        </w:tabs>
        <w:numPr>
          <w:ilvl w:val="0"/>
          <w:numId w:val="25"/>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Organization and Summary of Accounting Policies Organization</w:t>
      </w:r>
    </w:p>
    <w:p>
      <w:pPr>
        <w:spacing w:after="0" w:line="1" w:lineRule="exact"/>
        <w:rPr>
          <w:sz w:val="20"/>
          <w:szCs w:val="20"/>
          <w:color w:val="auto"/>
        </w:rPr>
      </w:pPr>
    </w:p>
    <w:p>
      <w:pPr>
        <w:jc w:val="both"/>
        <w:ind w:firstLine="309"/>
        <w:spacing w:after="0" w:line="265" w:lineRule="auto"/>
        <w:rPr>
          <w:sz w:val="20"/>
          <w:szCs w:val="20"/>
          <w:color w:val="auto"/>
        </w:rPr>
      </w:pPr>
      <w:r>
        <w:rPr>
          <w:rFonts w:ascii="Times New Roman" w:cs="Times New Roman" w:eastAsia="Times New Roman" w:hAnsi="Times New Roman"/>
          <w:sz w:val="15"/>
          <w:szCs w:val="15"/>
          <w:color w:val="auto"/>
        </w:rPr>
        <w:t>Surgery Partners, Inc., a Delaware corporation, acting through its subsidiaries, owns and operates a national network of surgical facilities and ancillary services. The surgical facilities, which include ambulatory surgery centers ("ASCs") and surgical hospitals, primarily provide non-emergency surgical procedures across many specialties, including, among others, orthopedics and pain management, gastroenterology, ophthalmology, and general surgery. Although some of the Company's surgical hospitals may include emergency departments, they are generally not equipped to handle a broad spectrum of patient needs, including critical and traumatic injuries. Ancillary services are comprised of multi-specialty physician practices, urgent care facilities and anesthesia services. Unless the context otherwise indicates, Surgery Partners, Inc. and its subsidiaries are referred to herein as "Surgery Partners," "we," "us," "our" or the "Company."</w:t>
      </w:r>
    </w:p>
    <w:p>
      <w:pPr>
        <w:spacing w:after="0" w:line="69" w:lineRule="exact"/>
        <w:rPr>
          <w:sz w:val="20"/>
          <w:szCs w:val="20"/>
          <w:color w:val="auto"/>
        </w:rPr>
      </w:pPr>
    </w:p>
    <w:p>
      <w:pPr>
        <w:jc w:val="both"/>
        <w:ind w:firstLine="309"/>
        <w:spacing w:after="0" w:line="279" w:lineRule="auto"/>
        <w:rPr>
          <w:sz w:val="20"/>
          <w:szCs w:val="20"/>
          <w:color w:val="auto"/>
        </w:rPr>
      </w:pPr>
      <w:r>
        <w:rPr>
          <w:rFonts w:ascii="Times New Roman" w:cs="Times New Roman" w:eastAsia="Times New Roman" w:hAnsi="Times New Roman"/>
          <w:sz w:val="15"/>
          <w:szCs w:val="15"/>
          <w:color w:val="auto"/>
        </w:rPr>
        <w:t>As of December 31, 2025, the Company owned or operated a portfolio of 176 surgical facilities, comprised of 157 ASCs and 19 surgical hospitals in 30 states. The Company owns these facilities in partnership with physicians and, in some cases, health care systems in the markets and communities it serves. The Company owned a majority interest in 90 of these surgical facilities and consolidated 121 surgical facilities for financial reporting purposes.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Basis of Presentation</w:t>
      </w:r>
    </w:p>
    <w:p>
      <w:pPr>
        <w:spacing w:after="0" w:line="128" w:lineRule="exact"/>
        <w:rPr>
          <w:sz w:val="20"/>
          <w:szCs w:val="20"/>
          <w:color w:val="auto"/>
        </w:rPr>
      </w:pPr>
    </w:p>
    <w:p>
      <w:pPr>
        <w:jc w:val="both"/>
        <w:ind w:firstLine="309"/>
        <w:spacing w:after="0" w:line="270" w:lineRule="auto"/>
        <w:rPr>
          <w:sz w:val="20"/>
          <w:szCs w:val="20"/>
          <w:color w:val="auto"/>
        </w:rPr>
      </w:pPr>
      <w:r>
        <w:rPr>
          <w:rFonts w:ascii="Times New Roman" w:cs="Times New Roman" w:eastAsia="Times New Roman" w:hAnsi="Times New Roman"/>
          <w:sz w:val="15"/>
          <w:szCs w:val="15"/>
          <w:color w:val="auto"/>
        </w:rPr>
        <w:t>The preparation of financial statements in conformity with generally accepted accounting principles ("GAAP") requires management to make estimates and assumptions that affect the amounts reported in the consolidated financial statements and footnotes. Examples include, but are not limited to, estimates of revenue, accounts receivable allowances, professional and general liabilities and the estimate of deferred tax assets or liabilities. Actual results could differ from those estimates.</w:t>
      </w:r>
    </w:p>
    <w:p>
      <w:pPr>
        <w:spacing w:after="0" w:line="75" w:lineRule="exact"/>
        <w:rPr>
          <w:sz w:val="20"/>
          <w:szCs w:val="20"/>
          <w:color w:val="auto"/>
        </w:rPr>
      </w:pPr>
    </w:p>
    <w:p>
      <w:pPr>
        <w:jc w:val="both"/>
        <w:ind w:firstLine="309"/>
        <w:spacing w:after="0" w:line="279" w:lineRule="auto"/>
        <w:rPr>
          <w:sz w:val="20"/>
          <w:szCs w:val="20"/>
          <w:color w:val="auto"/>
        </w:rPr>
      </w:pPr>
      <w:r>
        <w:rPr>
          <w:rFonts w:ascii="Times New Roman" w:cs="Times New Roman" w:eastAsia="Times New Roman" w:hAnsi="Times New Roman"/>
          <w:sz w:val="15"/>
          <w:szCs w:val="15"/>
          <w:color w:val="auto"/>
        </w:rPr>
        <w:t>The consolidated financial statements include the accounts of the Company and its wholly-owned subsidiaries, as well as interests in partnerships and limited liability companies controlled by the Company through its ownership of a majority voting interest or other rights granted to the Company by contract to manage and control the affiliate's business. All significant intercompany balances and transactions are eliminated in consolidation.</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Revenues</w:t>
      </w:r>
    </w:p>
    <w:p>
      <w:pPr>
        <w:spacing w:after="0" w:line="115" w:lineRule="exact"/>
        <w:rPr>
          <w:sz w:val="20"/>
          <w:szCs w:val="20"/>
          <w:color w:val="auto"/>
        </w:rPr>
      </w:pPr>
    </w:p>
    <w:p>
      <w:pPr>
        <w:jc w:val="both"/>
        <w:ind w:firstLine="309"/>
        <w:spacing w:after="0" w:line="266" w:lineRule="auto"/>
        <w:rPr>
          <w:sz w:val="20"/>
          <w:szCs w:val="20"/>
          <w:color w:val="auto"/>
        </w:rPr>
      </w:pPr>
      <w:r>
        <w:rPr>
          <w:rFonts w:ascii="Times New Roman" w:cs="Times New Roman" w:eastAsia="Times New Roman" w:hAnsi="Times New Roman"/>
          <w:sz w:val="15"/>
          <w:szCs w:val="15"/>
          <w:color w:val="auto"/>
        </w:rPr>
        <w:t>The Company's revenues generally relate to contracts with patients in which the performance obligations are to provide health care services. The Company recognizes revenues in the period in which its obligations to provide health care services are satisfied and reports the amount that reflects the consideration the Company expects to be entitled to receive. The contractual relationships with patients, in most cases, also involve a third-party payor (e.g., Medicare, Medicaid and private insurance organizations, including plans offered through the health insurance exchanges) and the transaction prices for the services provided are dependent upon the terms provided by or negotiated with the third-party payors. The payment arrangements with third-party payors for the services provided to the related patients typically specify payments at amounts less than the Company's standard charges. The Company continually reviews the contractual estimation process to consider and incorporate updates to laws and regulations and the frequent changes in managed care contractual terms resulting from contract renegotiations and renewals.</w:t>
      </w:r>
    </w:p>
    <w:p>
      <w:pPr>
        <w:spacing w:after="0" w:line="6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The following table presents a summary of revenues by service type as a percentage of total revenues:</w:t>
      </w:r>
    </w:p>
    <w:p>
      <w:pPr>
        <w:spacing w:after="0" w:line="228" w:lineRule="exact"/>
        <w:rPr>
          <w:sz w:val="20"/>
          <w:szCs w:val="20"/>
          <w:color w:val="auto"/>
        </w:rPr>
      </w:pPr>
    </w:p>
    <w:p>
      <w:pPr>
        <w:ind w:left="816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4" w:lineRule="exact"/>
        <w:rPr>
          <w:sz w:val="20"/>
          <w:szCs w:val="20"/>
          <w:color w:val="auto"/>
        </w:rPr>
      </w:pPr>
    </w:p>
    <w:tbl>
      <w:tblPr>
        <w:tblLayout w:type="fixed"/>
        <w:tblInd w:w="60" w:type="dxa"/>
        <w:tblCellMar>
          <w:top w:w="0" w:type="dxa"/>
          <w:left w:w="0" w:type="dxa"/>
          <w:bottom w:w="0" w:type="dxa"/>
          <w:right w:w="0" w:type="dxa"/>
        </w:tblCellMar>
      </w:tblPr>
      <w:tr>
        <w:trPr>
          <w:trHeight w:val="201"/>
        </w:trPr>
        <w:tc>
          <w:tcPr>
            <w:tcW w:w="6620" w:type="dxa"/>
            <w:vAlign w:val="bottom"/>
            <w:tcBorders>
              <w:bottom w:val="single" w:sz="8" w:color="CCEEFF"/>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1420" w:type="dxa"/>
            <w:vAlign w:val="bottom"/>
            <w:tcBorders>
              <w:top w:val="single" w:sz="8" w:color="auto"/>
              <w:bottom w:val="single" w:sz="8" w:color="auto"/>
            </w:tcBorders>
          </w:tcPr>
          <w:p>
            <w:pPr>
              <w:jc w:val="right"/>
              <w:ind w:right="50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7"/>
                <w:szCs w:val="17"/>
                <w:color w:val="auto"/>
              </w:rPr>
            </w:pPr>
          </w:p>
        </w:tc>
        <w:tc>
          <w:tcPr>
            <w:tcW w:w="1440" w:type="dxa"/>
            <w:vAlign w:val="bottom"/>
            <w:tcBorders>
              <w:top w:val="single" w:sz="8" w:color="auto"/>
              <w:bottom w:val="single" w:sz="8" w:color="auto"/>
            </w:tcBorders>
          </w:tcPr>
          <w:p>
            <w:pPr>
              <w:jc w:val="right"/>
              <w:ind w:right="50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5"/>
        </w:trPr>
        <w:tc>
          <w:tcPr>
            <w:tcW w:w="75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Patient service revenues</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97.5 %</w:t>
            </w: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98.1 %</w:t>
            </w: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98.4 %</w:t>
            </w:r>
          </w:p>
        </w:tc>
      </w:tr>
      <w:tr>
        <w:trPr>
          <w:trHeight w:val="203"/>
        </w:trPr>
        <w:tc>
          <w:tcPr>
            <w:tcW w:w="66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5"/>
                <w:szCs w:val="15"/>
                <w:color w:val="auto"/>
              </w:rPr>
              <w:t>Other service revenues</w:t>
            </w:r>
          </w:p>
        </w:tc>
        <w:tc>
          <w:tcPr>
            <w:tcW w:w="8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2.5 %</w:t>
            </w:r>
          </w:p>
        </w:tc>
        <w:tc>
          <w:tcPr>
            <w:tcW w:w="100" w:type="dxa"/>
            <w:vAlign w:val="bottom"/>
            <w:tcBorders>
              <w:bottom w:val="single" w:sz="8" w:color="CCEEFF"/>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1.9 %</w:t>
            </w:r>
          </w:p>
        </w:tc>
        <w:tc>
          <w:tcPr>
            <w:tcW w:w="100" w:type="dxa"/>
            <w:vAlign w:val="bottom"/>
            <w:tcBorders>
              <w:bottom w:val="single" w:sz="8" w:color="CCEEFF"/>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1.6 %</w:t>
            </w:r>
          </w:p>
        </w:tc>
      </w:tr>
      <w:tr>
        <w:trPr>
          <w:trHeight w:val="222"/>
        </w:trPr>
        <w:tc>
          <w:tcPr>
            <w:tcW w:w="75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Total revenues</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100.0 %</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100.0 %</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100.0 %</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firstLine="309"/>
        <w:spacing w:after="0" w:line="266" w:lineRule="auto"/>
        <w:rPr>
          <w:sz w:val="20"/>
          <w:szCs w:val="20"/>
          <w:color w:val="auto"/>
        </w:rPr>
      </w:pPr>
      <w:r>
        <w:rPr>
          <w:rFonts w:ascii="Times New Roman" w:cs="Times New Roman" w:eastAsia="Times New Roman" w:hAnsi="Times New Roman"/>
          <w:sz w:val="15"/>
          <w:szCs w:val="15"/>
          <w:i w:val="1"/>
          <w:iCs w:val="1"/>
          <w:color w:val="auto"/>
        </w:rPr>
        <w:t xml:space="preserve">Patient service revenues. </w:t>
      </w:r>
      <w:r>
        <w:rPr>
          <w:rFonts w:ascii="Times New Roman" w:cs="Times New Roman" w:eastAsia="Times New Roman" w:hAnsi="Times New Roman"/>
          <w:sz w:val="15"/>
          <w:szCs w:val="15"/>
          <w:color w:val="auto"/>
        </w:rPr>
        <w:t>This revenue is related to charging facility fees in exchange for providing patient care. The fee charged for health care procedures performed in</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surgical facilities varies depending on the type of service provided, but usually includes all charges for usage of an operating room, a recovery room, special equipment, medical supplies, nursing staff and medications. The fee does not normally include professional fees charged by the patient’s surgeon, anesthesiologist or other attending physician, which are billed directly by such physicians to the patient or third-party payor. However, in several surgical facilities, the Company charges for anesthesia services. Ancillary service revenues include fees for patient visits to the Company's physician practices, pharmacy services and diagnostic tests ordered by physicians.</w:t>
      </w:r>
    </w:p>
    <w:p>
      <w:pPr>
        <w:spacing w:after="0" w:line="79" w:lineRule="exact"/>
        <w:rPr>
          <w:sz w:val="20"/>
          <w:szCs w:val="20"/>
          <w:color w:val="auto"/>
        </w:rPr>
      </w:pPr>
    </w:p>
    <w:p>
      <w:pPr>
        <w:jc w:val="both"/>
        <w:ind w:firstLine="309"/>
        <w:spacing w:after="0" w:line="279" w:lineRule="auto"/>
        <w:rPr>
          <w:sz w:val="20"/>
          <w:szCs w:val="20"/>
          <w:color w:val="auto"/>
        </w:rPr>
      </w:pPr>
      <w:r>
        <w:rPr>
          <w:rFonts w:ascii="Times New Roman" w:cs="Times New Roman" w:eastAsia="Times New Roman" w:hAnsi="Times New Roman"/>
          <w:sz w:val="15"/>
          <w:szCs w:val="15"/>
          <w:color w:val="auto"/>
        </w:rPr>
        <w:t>Patient service revenues are recognized as performance obligations are satisfied. Performance obligations are based on the nature of services provided. Typically, the Company recognizes revenue at a point in time in which services are rendered and the Company has no obligation to provide further patient services. Because the Company primarily performs outpatient procedures, performance obligations are generally satisfied same day and revenue is recognized on the date of service.</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1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2"/>
          <w:szCs w:val="12"/>
          <w:b w:val="1"/>
          <w:bCs w:val="1"/>
          <w:u w:val="single" w:color="auto"/>
          <w:color w:val="0000FF"/>
        </w:rPr>
        <w:t>Table of Contents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SURGERY PARTNERS, INC.</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both"/>
        <w:ind w:firstLine="309"/>
        <w:spacing w:after="0" w:line="269" w:lineRule="auto"/>
        <w:rPr>
          <w:sz w:val="20"/>
          <w:szCs w:val="20"/>
          <w:color w:val="auto"/>
        </w:rPr>
      </w:pPr>
      <w:r>
        <w:rPr>
          <w:rFonts w:ascii="Times New Roman" w:cs="Times New Roman" w:eastAsia="Times New Roman" w:hAnsi="Times New Roman"/>
          <w:sz w:val="15"/>
          <w:szCs w:val="15"/>
          <w:color w:val="auto"/>
        </w:rPr>
        <w:t>The Company determines the transaction price based on gross charges for services provided, net of estimated contractual adjustments and implicit price concessions. The Company estimates its contractual adjustments and implicit price concessions based on contractual agreements, its discount policies and historical experience of cash collections and historical write-offs. The estimated contractual adjustments and implicit price concessions are recognized at the time of services being performed, with ASCs generally based on contractual agreements and surgical hospitals generally based on historical experience of cash collections and write-offs. Changes in estimated contractual adjustments and implicit price concessions are recorded in the period of change, with final adjustments, if any, typically at the time of payment.</w:t>
      </w:r>
    </w:p>
    <w:p>
      <w:pPr>
        <w:spacing w:after="0" w:line="65" w:lineRule="exact"/>
        <w:rPr>
          <w:sz w:val="20"/>
          <w:szCs w:val="20"/>
          <w:color w:val="auto"/>
        </w:rPr>
      </w:pPr>
    </w:p>
    <w:p>
      <w:pPr>
        <w:jc w:val="both"/>
        <w:ind w:firstLine="309"/>
        <w:spacing w:after="0" w:line="266" w:lineRule="auto"/>
        <w:rPr>
          <w:sz w:val="20"/>
          <w:szCs w:val="20"/>
          <w:color w:val="auto"/>
        </w:rPr>
      </w:pPr>
      <w:r>
        <w:rPr>
          <w:rFonts w:ascii="Times New Roman" w:cs="Times New Roman" w:eastAsia="Times New Roman" w:hAnsi="Times New Roman"/>
          <w:sz w:val="15"/>
          <w:szCs w:val="15"/>
          <w:color w:val="auto"/>
        </w:rPr>
        <w:t>Several states utilize supplemental Medicaid reimbursement programs for the purpose of providing reimbursement to providers to increase base rates to the levels that Medicare would have paid for the same service or for payments that offset a portion of the cost of providing care to Medicaid and indigent patients. These programs are designed with input from the Centers for Medicare &amp; Medicaid Services (“CMS”) and are funded with a combination of state and federal resources, including, in certain instances, fees or taxes levied on the providers. We account for payments under these supplemental programs as variable consideration and estimate the amount using the most likely amount method. Reimbursement under these programs, including the recognition of variable consideration, is reflected in patient service revenues. Taxes or other program-related costs are reflected in other operating expenses.</w:t>
      </w:r>
    </w:p>
    <w:p>
      <w:pPr>
        <w:spacing w:after="0" w:line="252" w:lineRule="exact"/>
        <w:rPr>
          <w:sz w:val="20"/>
          <w:szCs w:val="20"/>
          <w:color w:val="auto"/>
        </w:rPr>
      </w:pPr>
    </w:p>
    <w:p>
      <w:pPr>
        <w:jc w:val="both"/>
        <w:ind w:firstLine="309"/>
        <w:spacing w:after="0" w:line="270" w:lineRule="auto"/>
        <w:rPr>
          <w:sz w:val="20"/>
          <w:szCs w:val="20"/>
          <w:color w:val="auto"/>
        </w:rPr>
      </w:pPr>
      <w:r>
        <w:rPr>
          <w:rFonts w:ascii="Times New Roman" w:cs="Times New Roman" w:eastAsia="Times New Roman" w:hAnsi="Times New Roman"/>
          <w:sz w:val="15"/>
          <w:szCs w:val="15"/>
          <w:i w:val="1"/>
          <w:iCs w:val="1"/>
          <w:color w:val="auto"/>
        </w:rPr>
        <w:t xml:space="preserve">Other service revenues. </w:t>
      </w:r>
      <w:r>
        <w:rPr>
          <w:rFonts w:ascii="Times New Roman" w:cs="Times New Roman" w:eastAsia="Times New Roman" w:hAnsi="Times New Roman"/>
          <w:sz w:val="15"/>
          <w:szCs w:val="15"/>
          <w:color w:val="auto"/>
        </w:rPr>
        <w:t>Other service revenues include management and administrative service fees derived from the non-consolidated facilities that the Company accounts for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under the equity method, management of surgical facilities in which it does not own an interest, and management services provided to physician practices for which the Company is not required to provide capital or additional assets and other non-patient services. The management agreements typically require the Company to provide recurring management services over a multi-year period, which are billed and collected on a monthly basis. The fees derived from these management arrangements are based on a predetermined percentage of the revenues of each facility or practice and are recognized in the period in which management services are rendered and billed.</w:t>
      </w:r>
    </w:p>
    <w:p>
      <w:pPr>
        <w:spacing w:after="0" w:line="65" w:lineRule="exact"/>
        <w:rPr>
          <w:sz w:val="20"/>
          <w:szCs w:val="20"/>
          <w:color w:val="auto"/>
        </w:rPr>
      </w:pPr>
    </w:p>
    <w:p>
      <w:pPr>
        <w:jc w:val="both"/>
        <w:ind w:firstLine="309"/>
        <w:spacing w:after="0" w:line="307" w:lineRule="auto"/>
        <w:rPr>
          <w:sz w:val="20"/>
          <w:szCs w:val="20"/>
          <w:color w:val="auto"/>
        </w:rPr>
      </w:pPr>
      <w:r>
        <w:rPr>
          <w:rFonts w:ascii="Times New Roman" w:cs="Times New Roman" w:eastAsia="Times New Roman" w:hAnsi="Times New Roman"/>
          <w:sz w:val="15"/>
          <w:szCs w:val="15"/>
          <w:color w:val="auto"/>
        </w:rPr>
        <w:t>The following table sets forth patient service revenues by type of payor and as a percentage of total patient service revenues for the Company's consolidated surgical facilities (dollars in millions):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2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22"/>
        </w:trPr>
        <w:tc>
          <w:tcPr>
            <w:tcW w:w="5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gridSpan w:val="3"/>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gridSpan w:val="3"/>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gridSpan w:val="3"/>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81"/>
        </w:trPr>
        <w:tc>
          <w:tcPr>
            <w:tcW w:w="50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7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7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700" w:type="dxa"/>
            <w:vAlign w:val="bottom"/>
            <w:tcBorders>
              <w:bottom w:val="single" w:sz="8" w:color="auto"/>
            </w:tcBorders>
          </w:tcPr>
          <w:p>
            <w:pPr>
              <w:spacing w:after="0"/>
              <w:rPr>
                <w:sz w:val="15"/>
                <w:szCs w:val="15"/>
                <w:color w:val="auto"/>
              </w:rPr>
            </w:pPr>
          </w:p>
        </w:tc>
      </w:tr>
      <w:tr>
        <w:trPr>
          <w:trHeight w:val="186"/>
        </w:trPr>
        <w:tc>
          <w:tcPr>
            <w:tcW w:w="5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3"/>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00" w:type="dxa"/>
            <w:vAlign w:val="bottom"/>
          </w:tcPr>
          <w:p>
            <w:pPr>
              <w:jc w:val="right"/>
              <w:ind w:right="304"/>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00" w:type="dxa"/>
            <w:vAlign w:val="bottom"/>
          </w:tcPr>
          <w:p>
            <w:pPr>
              <w:jc w:val="right"/>
              <w:ind w:right="304"/>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3"/>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00" w:type="dxa"/>
            <w:vAlign w:val="bottom"/>
          </w:tcPr>
          <w:p>
            <w:pPr>
              <w:jc w:val="right"/>
              <w:ind w:right="304"/>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92"/>
        </w:trPr>
        <w:tc>
          <w:tcPr>
            <w:tcW w:w="5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Patient service revenues:</w:t>
            </w:r>
          </w:p>
        </w:tc>
        <w:tc>
          <w:tcPr>
            <w:tcW w:w="16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r>
      <w:tr>
        <w:trPr>
          <w:trHeight w:val="203"/>
        </w:trPr>
        <w:tc>
          <w:tcPr>
            <w:tcW w:w="506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Private insurance</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1,687.2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3"/>
          </w:tcPr>
          <w:p>
            <w:pPr>
              <w:jc w:val="right"/>
              <w:ind w:right="80"/>
              <w:spacing w:after="0"/>
              <w:rPr>
                <w:sz w:val="20"/>
                <w:szCs w:val="20"/>
                <w:color w:val="auto"/>
              </w:rPr>
            </w:pPr>
            <w:r>
              <w:rPr>
                <w:rFonts w:ascii="Times New Roman" w:cs="Times New Roman" w:eastAsia="Times New Roman" w:hAnsi="Times New Roman"/>
                <w:sz w:val="15"/>
                <w:szCs w:val="15"/>
                <w:color w:val="auto"/>
              </w:rPr>
              <w:t>52.3 %  $</w:t>
            </w: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1,634.2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53.5 %</w:t>
            </w:r>
          </w:p>
        </w:tc>
        <w:tc>
          <w:tcPr>
            <w:tcW w:w="100" w:type="dxa"/>
            <w:vAlign w:val="bottom"/>
          </w:tcPr>
          <w:p>
            <w:pPr>
              <w:spacing w:after="0"/>
              <w:rPr>
                <w:sz w:val="17"/>
                <w:szCs w:val="17"/>
                <w:color w:val="auto"/>
              </w:rPr>
            </w:pPr>
          </w:p>
        </w:tc>
        <w:tc>
          <w:tcPr>
            <w:tcW w:w="1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1,418.6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52.5 %</w:t>
            </w:r>
          </w:p>
        </w:tc>
      </w:tr>
      <w:tr>
        <w:trPr>
          <w:trHeight w:val="209"/>
        </w:trPr>
        <w:tc>
          <w:tcPr>
            <w:tcW w:w="5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Government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1,380.3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42.8 %</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1,256.8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41.1 %</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1,128.1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41.8 %</w:t>
            </w:r>
          </w:p>
        </w:tc>
      </w:tr>
      <w:tr>
        <w:trPr>
          <w:trHeight w:val="203"/>
        </w:trPr>
        <w:tc>
          <w:tcPr>
            <w:tcW w:w="506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Self-pay</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87.6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2.7 %</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82.3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2.7 %</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68.1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2.5 %</w:t>
            </w:r>
          </w:p>
        </w:tc>
      </w:tr>
      <w:tr>
        <w:trPr>
          <w:trHeight w:val="209"/>
        </w:trPr>
        <w:tc>
          <w:tcPr>
            <w:tcW w:w="5060" w:type="dxa"/>
            <w:vAlign w:val="bottom"/>
            <w:shd w:val="clear" w:color="auto" w:fill="CCEEFF"/>
          </w:tcPr>
          <w:p>
            <w:pPr>
              <w:ind w:left="120"/>
              <w:spacing w:after="0" w:line="209" w:lineRule="exact"/>
              <w:rPr>
                <w:sz w:val="20"/>
                <w:szCs w:val="20"/>
                <w:color w:val="auto"/>
              </w:rPr>
            </w:pPr>
            <w:r>
              <w:rPr>
                <w:rFonts w:ascii="Times New Roman" w:cs="Times New Roman" w:eastAsia="Times New Roman" w:hAnsi="Times New Roman"/>
                <w:sz w:val="15"/>
                <w:szCs w:val="15"/>
                <w:color w:val="auto"/>
              </w:rPr>
              <w:t xml:space="preserve">Other </w:t>
            </w:r>
            <w:r>
              <w:rPr>
                <w:rFonts w:ascii="Times New Roman" w:cs="Times New Roman" w:eastAsia="Times New Roman" w:hAnsi="Times New Roman"/>
                <w:sz w:val="20"/>
                <w:szCs w:val="20"/>
                <w:color w:val="auto"/>
                <w:vertAlign w:val="superscript"/>
              </w:rPr>
              <w:t>(1)</w:t>
            </w: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71.2</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2.2 %</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81.1</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2.7 %</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85.6</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3.2 %</w:t>
            </w:r>
          </w:p>
        </w:tc>
      </w:tr>
      <w:tr>
        <w:trPr>
          <w:trHeight w:val="196"/>
        </w:trPr>
        <w:tc>
          <w:tcPr>
            <w:tcW w:w="506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Total patient service revenues</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3,226.3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100.0 %</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3,054.4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100.0 %</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2,700.4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100.0 %</w:t>
            </w:r>
          </w:p>
        </w:tc>
      </w:tr>
      <w:tr>
        <w:trPr>
          <w:trHeight w:val="209"/>
        </w:trPr>
        <w:tc>
          <w:tcPr>
            <w:tcW w:w="5060" w:type="dxa"/>
            <w:vAlign w:val="bottom"/>
            <w:shd w:val="clear" w:color="auto" w:fill="CCEEFF"/>
          </w:tcPr>
          <w:p>
            <w:pPr>
              <w:ind w:left="20"/>
              <w:spacing w:after="0" w:line="209" w:lineRule="exact"/>
              <w:rPr>
                <w:sz w:val="20"/>
                <w:szCs w:val="20"/>
                <w:color w:val="auto"/>
              </w:rPr>
            </w:pPr>
            <w:r>
              <w:rPr>
                <w:rFonts w:ascii="Times New Roman" w:cs="Times New Roman" w:eastAsia="Times New Roman" w:hAnsi="Times New Roman"/>
                <w:sz w:val="15"/>
                <w:szCs w:val="15"/>
                <w:color w:val="auto"/>
              </w:rPr>
              <w:t xml:space="preserve">Other service revenues </w:t>
            </w:r>
            <w:r>
              <w:rPr>
                <w:rFonts w:ascii="Times New Roman" w:cs="Times New Roman" w:eastAsia="Times New Roman" w:hAnsi="Times New Roman"/>
                <w:sz w:val="20"/>
                <w:szCs w:val="20"/>
                <w:color w:val="auto"/>
                <w:vertAlign w:val="superscript"/>
              </w:rPr>
              <w:t>(2)</w:t>
            </w: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82.4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199"/>
        </w:trPr>
        <w:tc>
          <w:tcPr>
            <w:tcW w:w="506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Total revenues</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3,308.7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3"/>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3,114.3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2,743.3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0"/>
        </w:trPr>
        <w:tc>
          <w:tcPr>
            <w:tcW w:w="50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bl>
    <w:p>
      <w:pPr>
        <w:spacing w:after="0" w:line="216" w:lineRule="exact"/>
        <w:rPr>
          <w:sz w:val="20"/>
          <w:szCs w:val="20"/>
          <w:color w:val="auto"/>
        </w:rPr>
      </w:pPr>
    </w:p>
    <w:p>
      <w:pPr>
        <w:ind w:left="240" w:hanging="237"/>
        <w:spacing w:after="0"/>
        <w:tabs>
          <w:tab w:leader="none" w:pos="240"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Other is comprised of automobile liability, letters of protection and other payor types.</w:t>
      </w:r>
    </w:p>
    <w:p>
      <w:pPr>
        <w:spacing w:after="0" w:line="68" w:lineRule="exact"/>
        <w:rPr>
          <w:rFonts w:ascii="Times New Roman" w:cs="Times New Roman" w:eastAsia="Times New Roman" w:hAnsi="Times New Roman"/>
          <w:sz w:val="12"/>
          <w:szCs w:val="12"/>
          <w:color w:val="auto"/>
        </w:rPr>
      </w:pPr>
    </w:p>
    <w:p>
      <w:pPr>
        <w:ind w:left="240" w:hanging="237"/>
        <w:spacing w:after="0"/>
        <w:tabs>
          <w:tab w:leader="none" w:pos="240"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Includes amounts attributable to related parties of $19.8 million, $17.4 million and $18.4 million for the years ended December 31, 2025, 2024 and 2023, respectively.</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Accounts Receivable</w:t>
      </w:r>
    </w:p>
    <w:p>
      <w:pPr>
        <w:spacing w:after="0" w:line="128" w:lineRule="exact"/>
        <w:rPr>
          <w:sz w:val="20"/>
          <w:szCs w:val="20"/>
          <w:color w:val="auto"/>
        </w:rPr>
      </w:pPr>
    </w:p>
    <w:p>
      <w:pPr>
        <w:jc w:val="both"/>
        <w:ind w:firstLine="309"/>
        <w:spacing w:after="0" w:line="263" w:lineRule="auto"/>
        <w:rPr>
          <w:sz w:val="20"/>
          <w:szCs w:val="20"/>
          <w:color w:val="auto"/>
        </w:rPr>
      </w:pPr>
      <w:r>
        <w:rPr>
          <w:rFonts w:ascii="Times New Roman" w:cs="Times New Roman" w:eastAsia="Times New Roman" w:hAnsi="Times New Roman"/>
          <w:sz w:val="15"/>
          <w:szCs w:val="15"/>
          <w:color w:val="auto"/>
        </w:rPr>
        <w:t>Accounts receivable from third-party payors are recorded net of contractual allowances and implicit price concessions, which are estimated based on established fee schedules, relationships with payors, procedure statistics and other objective information including the historical trend of cash collections and contractual write-offs. The Company estimates its contractual adjustments and implicit price concessions based on contractual agreements, its discount policies and historical experience of cash collections and historical write-offs. The estimated contractual adjustments and implicit price concessions are recognized at the time of services being performed, with ASCs generally based on contractual agreements and surgical hospitals generally based on historical experience of cash collections and write-offs. Changes in estimated contractual adjustments and implicit price concessions are recorded in the period of change, with final adjustments, if any, typically at the time of payment. While changes in estimated reimbursement from third-party payors remain a possibility, the Company expects that any such changes would be minimal and, therefore, would not have a material effect on its financial condition or results of operations.</w:t>
      </w:r>
    </w:p>
    <w:p>
      <w:pPr>
        <w:spacing w:after="0" w:line="82" w:lineRule="exact"/>
        <w:rPr>
          <w:sz w:val="20"/>
          <w:szCs w:val="20"/>
          <w:color w:val="auto"/>
        </w:rPr>
      </w:pPr>
    </w:p>
    <w:p>
      <w:pPr>
        <w:jc w:val="both"/>
        <w:ind w:firstLine="309"/>
        <w:spacing w:after="0" w:line="270" w:lineRule="auto"/>
        <w:rPr>
          <w:sz w:val="20"/>
          <w:szCs w:val="20"/>
          <w:color w:val="auto"/>
        </w:rPr>
      </w:pPr>
      <w:r>
        <w:rPr>
          <w:rFonts w:ascii="Times New Roman" w:cs="Times New Roman" w:eastAsia="Times New Roman" w:hAnsi="Times New Roman"/>
          <w:sz w:val="15"/>
          <w:szCs w:val="15"/>
          <w:color w:val="auto"/>
        </w:rPr>
        <w:t>Accounts receivable consists of receivables from federal and state agencies (under the Medicare and Medicaid programs), private insurance organizations, employers and patients. Management recognizes that revenues and receivables from government agencies are significant to the Company's operations, but it does not believe that there is significant credit risk associated with these government agencies. Concentration of credit risk with respect to other payors is limited because of the large number of such payors.</w:t>
      </w:r>
    </w:p>
    <w:p>
      <w:pPr>
        <w:spacing w:after="0" w:line="75" w:lineRule="exact"/>
        <w:rPr>
          <w:sz w:val="20"/>
          <w:szCs w:val="20"/>
          <w:color w:val="auto"/>
        </w:rPr>
      </w:pPr>
    </w:p>
    <w:p>
      <w:pPr>
        <w:jc w:val="both"/>
        <w:ind w:firstLine="309"/>
        <w:spacing w:after="0" w:line="289" w:lineRule="auto"/>
        <w:rPr>
          <w:sz w:val="20"/>
          <w:szCs w:val="20"/>
          <w:color w:val="auto"/>
        </w:rPr>
      </w:pPr>
      <w:r>
        <w:rPr>
          <w:rFonts w:ascii="Times New Roman" w:cs="Times New Roman" w:eastAsia="Times New Roman" w:hAnsi="Times New Roman"/>
          <w:sz w:val="15"/>
          <w:szCs w:val="15"/>
          <w:color w:val="auto"/>
        </w:rPr>
        <w:t>The Company recognizes that final reimbursement of accounts receivable is subject to final approval by each third-party payor. However, because the Company has contracts with its third-party payors and also verifies insurance coverage of the patient before medical</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1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2"/>
          <w:szCs w:val="12"/>
          <w:b w:val="1"/>
          <w:bCs w:val="1"/>
          <w:u w:val="single" w:color="auto"/>
          <w:color w:val="0000FF"/>
        </w:rPr>
        <w:t>Table of Contents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SURGERY PARTNERS, INC.</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5"/>
          <w:szCs w:val="15"/>
          <w:color w:val="auto"/>
        </w:rPr>
        <w:t>services are rendered, the amounts that are pending approval from third-party payors are not considered significant. Amounts are classified outside of self-pay if the Company has an agreement with the third-party payor or has verified a patient’s coverage prior to services rendered. The Company's policy is to collect co-payments and deductibles prior to providing medical services. Patient services of the Company are primarily non-emergency, which allows the surgical facilities to control the procedures for which third-party reimbursement is sought and obtained. The Company does not require collateral from self-pay patients.</w:t>
      </w:r>
    </w:p>
    <w:p>
      <w:pPr>
        <w:spacing w:after="0" w:line="78" w:lineRule="exact"/>
        <w:rPr>
          <w:sz w:val="20"/>
          <w:szCs w:val="20"/>
          <w:color w:val="auto"/>
        </w:rPr>
      </w:pPr>
    </w:p>
    <w:p>
      <w:pPr>
        <w:jc w:val="both"/>
        <w:ind w:firstLine="309"/>
        <w:spacing w:after="0" w:line="270" w:lineRule="auto"/>
        <w:rPr>
          <w:sz w:val="20"/>
          <w:szCs w:val="20"/>
          <w:color w:val="auto"/>
        </w:rPr>
      </w:pPr>
      <w:r>
        <w:rPr>
          <w:rFonts w:ascii="Times New Roman" w:cs="Times New Roman" w:eastAsia="Times New Roman" w:hAnsi="Times New Roman"/>
          <w:sz w:val="15"/>
          <w:szCs w:val="15"/>
          <w:color w:val="auto"/>
        </w:rPr>
        <w:t>The Company's collection policies and procedures are based on the type of payor, size of claim and estimated collection percentage for each patient account. The Company analyzes accounts receivable at each of its surgical facilities to ensure the proper collection and aged category. Collection efforts include direct contact with third-party payors or patients, written correspondence and the use of legal or collection agency assistance, as required.</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Impairment of Long-Lived Assets, Goodwill and Intangible Assets</w:t>
      </w:r>
    </w:p>
    <w:p>
      <w:pPr>
        <w:spacing w:after="0" w:line="115" w:lineRule="exact"/>
        <w:rPr>
          <w:sz w:val="20"/>
          <w:szCs w:val="20"/>
          <w:color w:val="auto"/>
        </w:rPr>
      </w:pPr>
    </w:p>
    <w:p>
      <w:pPr>
        <w:jc w:val="both"/>
        <w:ind w:firstLine="309"/>
        <w:spacing w:after="0" w:line="269" w:lineRule="auto"/>
        <w:rPr>
          <w:sz w:val="20"/>
          <w:szCs w:val="20"/>
          <w:color w:val="auto"/>
        </w:rPr>
      </w:pPr>
      <w:r>
        <w:rPr>
          <w:rFonts w:ascii="Times New Roman" w:cs="Times New Roman" w:eastAsia="Times New Roman" w:hAnsi="Times New Roman"/>
          <w:sz w:val="15"/>
          <w:szCs w:val="15"/>
          <w:color w:val="auto"/>
        </w:rPr>
        <w:t>The Company evaluates the carrying value of long-lived assets when impairment indicators are present or when circumstances indicate that impairment may exist. The evaluation is performed at the lowest level of identifiable cash flow. The Company performs an impairment test by preparing an expected undiscounted cash flow projection. If the projection indicates that the recorded amount of the long-lived asset is not expected to be recovered, the carrying value is reduced to estimated fair value. The cash flow projection and fair value represents management’s best estimate, using appropriate and customary assumptions, projections and methodologies, at the date of evaluation. For discussion on impairment for goodwill and indefinite-lived intangible assets, refer to Note 4. "Goodwill and Intangible Assets."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Derivative Instruments and Hedging Activities</w:t>
      </w:r>
    </w:p>
    <w:p>
      <w:pPr>
        <w:spacing w:after="0" w:line="115" w:lineRule="exact"/>
        <w:rPr>
          <w:sz w:val="20"/>
          <w:szCs w:val="20"/>
          <w:color w:val="auto"/>
        </w:rPr>
      </w:pPr>
    </w:p>
    <w:p>
      <w:pPr>
        <w:jc w:val="both"/>
        <w:ind w:firstLine="232"/>
        <w:spacing w:after="0" w:line="265" w:lineRule="auto"/>
        <w:rPr>
          <w:sz w:val="20"/>
          <w:szCs w:val="20"/>
          <w:color w:val="auto"/>
        </w:rPr>
      </w:pPr>
      <w:r>
        <w:rPr>
          <w:rFonts w:ascii="Times New Roman" w:cs="Times New Roman" w:eastAsia="Times New Roman" w:hAnsi="Times New Roman"/>
          <w:sz w:val="15"/>
          <w:szCs w:val="15"/>
          <w:color w:val="auto"/>
        </w:rPr>
        <w:t>The Company records all derivatives on the balance sheet at fair value and any financing elements treated as debt instruments are recorded at amortized cost. The accounting for changes in the fair value of derivatives depends on the intended use of the derivative, whether the Company has elected to designate a derivative in a hedging relationship and apply hedge accounting and whether the hedging relationship has satisfied the criteria necessary to apply hedge accounting. Hedge accounting generally provides for the matching of the timing of gain or loss recognition on the hedging instrument with the recognition of the changes in the fair value of the hedged asset or liability that are attributable to the hedged risk in a fair value hedge or the earnings effect of the hedged forecasted transactions in a cash flow hedge. The Company may enter into derivative contracts that are intended to economically hedge certain risks, even though hedge accounting does not apply or the Company elects not to apply hedge accounting.</w:t>
      </w:r>
    </w:p>
    <w:p>
      <w:pPr>
        <w:spacing w:after="0" w:line="82" w:lineRule="exact"/>
        <w:rPr>
          <w:sz w:val="20"/>
          <w:szCs w:val="20"/>
          <w:color w:val="auto"/>
        </w:rPr>
      </w:pPr>
    </w:p>
    <w:p>
      <w:pPr>
        <w:jc w:val="both"/>
        <w:ind w:firstLine="232"/>
        <w:spacing w:after="0" w:line="289" w:lineRule="auto"/>
        <w:rPr>
          <w:sz w:val="20"/>
          <w:szCs w:val="20"/>
          <w:color w:val="auto"/>
        </w:rPr>
      </w:pPr>
      <w:r>
        <w:rPr>
          <w:rFonts w:ascii="Times New Roman" w:cs="Times New Roman" w:eastAsia="Times New Roman" w:hAnsi="Times New Roman"/>
          <w:sz w:val="15"/>
          <w:szCs w:val="15"/>
          <w:color w:val="auto"/>
        </w:rPr>
        <w:t>The Company made an accounting policy election to measure the credit risk of its derivative financial instruments that are subject to master netting agreements on a net basis by counterparty portfolio.</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Non-Controlling Interests</w:t>
      </w:r>
    </w:p>
    <w:p>
      <w:pPr>
        <w:spacing w:after="0" w:line="115" w:lineRule="exact"/>
        <w:rPr>
          <w:sz w:val="20"/>
          <w:szCs w:val="20"/>
          <w:color w:val="auto"/>
        </w:rPr>
      </w:pPr>
    </w:p>
    <w:p>
      <w:pPr>
        <w:jc w:val="both"/>
        <w:ind w:firstLine="309"/>
        <w:spacing w:after="0" w:line="271" w:lineRule="auto"/>
        <w:rPr>
          <w:sz w:val="20"/>
          <w:szCs w:val="20"/>
          <w:color w:val="auto"/>
        </w:rPr>
      </w:pPr>
      <w:r>
        <w:rPr>
          <w:rFonts w:ascii="Times New Roman" w:cs="Times New Roman" w:eastAsia="Times New Roman" w:hAnsi="Times New Roman"/>
          <w:sz w:val="15"/>
          <w:szCs w:val="15"/>
          <w:color w:val="auto"/>
        </w:rPr>
        <w:t>The physician limited partners and physician minority members of the entities that the Company controls are responsible for the supervision and delivery of medical services. The governance rights of limited partners and minority members are restricted to those that protect their financial interests. Under certain partnership and operating agreements governing these partnerships and limited liability companies, the Company could be removed as the sole general partner or managing member for certain events such as material breach of the partnership or operating agreement, gross negligence or bankruptcy. These protective rights do not preclude consolidation of the respective partnerships and limited liability companies.</w:t>
      </w:r>
    </w:p>
    <w:p>
      <w:pPr>
        <w:spacing w:after="0" w:line="252" w:lineRule="exact"/>
        <w:rPr>
          <w:sz w:val="20"/>
          <w:szCs w:val="20"/>
          <w:color w:val="auto"/>
        </w:rPr>
      </w:pPr>
    </w:p>
    <w:p>
      <w:pPr>
        <w:jc w:val="both"/>
        <w:ind w:firstLine="309"/>
        <w:spacing w:after="0" w:line="265" w:lineRule="auto"/>
        <w:rPr>
          <w:sz w:val="20"/>
          <w:szCs w:val="20"/>
          <w:color w:val="auto"/>
        </w:rPr>
      </w:pPr>
      <w:r>
        <w:rPr>
          <w:rFonts w:ascii="Times New Roman" w:cs="Times New Roman" w:eastAsia="Times New Roman" w:hAnsi="Times New Roman"/>
          <w:sz w:val="15"/>
          <w:szCs w:val="15"/>
          <w:color w:val="auto"/>
        </w:rPr>
        <w:t>Ownership interests in consolidated subsidiaries held by parties other than the Company are identified and generally presented in the consolidated financial statements within the equity section but separate from the Company's equity. However, in instances in which certain redemption features that are not solely within the control of the Company are present, classification of non-controlling interests outside of permanent equity is required. Consolidated net income attributable to the Company and to the non-controlling interests are identified and presented on the consolidated statements of operations; changes in ownership interests in which the Company retains a controlling interest are accounted for as equity transactions assuming the Company continues to consolidate related entities. Certain transactions with non-controlling interests are classified within financing activities in the consolidated statements of cash flows.</w:t>
      </w:r>
    </w:p>
    <w:p>
      <w:pPr>
        <w:spacing w:after="0" w:line="69" w:lineRule="exact"/>
        <w:rPr>
          <w:sz w:val="20"/>
          <w:szCs w:val="20"/>
          <w:color w:val="auto"/>
        </w:rPr>
      </w:pPr>
    </w:p>
    <w:p>
      <w:pPr>
        <w:jc w:val="both"/>
        <w:ind w:firstLine="309"/>
        <w:spacing w:after="0" w:line="269" w:lineRule="auto"/>
        <w:rPr>
          <w:sz w:val="20"/>
          <w:szCs w:val="20"/>
          <w:color w:val="auto"/>
        </w:rPr>
      </w:pPr>
      <w:r>
        <w:rPr>
          <w:rFonts w:ascii="Times New Roman" w:cs="Times New Roman" w:eastAsia="Times New Roman" w:hAnsi="Times New Roman"/>
          <w:sz w:val="15"/>
          <w:szCs w:val="15"/>
          <w:color w:val="auto"/>
        </w:rPr>
        <w:t>The consolidated financial statements of the Company include all assets, liabilities, revenues and expenses of surgical facilities in which the Company has sufficient ownership and rights to allow the Company to consolidate the surgical facilities. Similar to its investments in non-consolidated affiliates, the Company regularly engages in the purchase and sale of ownership interests with respect to its consolidated subsidiaries that do not result in a change of control. The fair value of non-controlling interests upon acquisition are determined based on certain assumptions, including Level 3 unobservable inputs. Estimates and assumptions include the projected timing and amount of future cash flows as well as discount rates reflecting inherent risk due to lack of control and marketability, among others.</w:t>
      </w:r>
    </w:p>
    <w:p>
      <w:pPr>
        <w:spacing w:after="0" w:line="61" w:lineRule="exact"/>
        <w:rPr>
          <w:sz w:val="20"/>
          <w:szCs w:val="20"/>
          <w:color w:val="auto"/>
        </w:rPr>
      </w:pPr>
    </w:p>
    <w:p>
      <w:pPr>
        <w:jc w:val="both"/>
        <w:ind w:firstLine="309"/>
        <w:spacing w:after="0" w:line="267" w:lineRule="auto"/>
        <w:rPr>
          <w:sz w:val="20"/>
          <w:szCs w:val="20"/>
          <w:color w:val="auto"/>
        </w:rPr>
      </w:pPr>
      <w:r>
        <w:rPr>
          <w:rFonts w:ascii="Times New Roman" w:cs="Times New Roman" w:eastAsia="Times New Roman" w:hAnsi="Times New Roman"/>
          <w:sz w:val="15"/>
          <w:szCs w:val="15"/>
          <w:i w:val="1"/>
          <w:iCs w:val="1"/>
          <w:color w:val="auto"/>
        </w:rPr>
        <w:t xml:space="preserve">Non-Controlling Interests — Redeemable. </w:t>
      </w:r>
      <w:r>
        <w:rPr>
          <w:rFonts w:ascii="Times New Roman" w:cs="Times New Roman" w:eastAsia="Times New Roman" w:hAnsi="Times New Roman"/>
          <w:sz w:val="15"/>
          <w:szCs w:val="15"/>
          <w:color w:val="auto"/>
        </w:rPr>
        <w:t>Each partnership and limited liability company through which the Company owns and operates its surgical facilities is governed by a</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partnership or operating agreement, respectively. In certain circumstances, the applicable partnership or operating agreements for the Company's surgical facilities provide that the facilities will purchase all of the physician limited partners’ or physician minority members’, as applicable, ownership if certain adverse regulatory events occur, such as it becoming illegal for the physician(s) to own an interest in a surgical facility, refer patients to a surgical facility or receive cash distributions from a surgical facility. Management believes the likelihood of an event occurring that would trigger such purchases was remote as of December 31, 2025. The non-controlling interests</w:t>
      </w:r>
      <w:r>
        <w:rPr>
          <w:rFonts w:ascii="Times New Roman" w:cs="Times New Roman" w:eastAsia="Times New Roman" w:hAnsi="Times New Roman"/>
          <w:sz w:val="15"/>
          <w:szCs w:val="15"/>
          <w:i w:val="1"/>
          <w:iCs w:val="1"/>
          <w:color w:val="auto"/>
        </w:rPr>
        <w:t>—</w:t>
      </w:r>
      <w:r>
        <w:rPr>
          <w:rFonts w:ascii="Times New Roman" w:cs="Times New Roman" w:eastAsia="Times New Roman" w:hAnsi="Times New Roman"/>
          <w:sz w:val="15"/>
          <w:szCs w:val="15"/>
          <w:color w:val="auto"/>
        </w:rPr>
        <w:t>redeemable are reported outside of stockholders' equity in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2"/>
          <w:szCs w:val="12"/>
          <w:b w:val="1"/>
          <w:bCs w:val="1"/>
          <w:u w:val="single" w:color="auto"/>
          <w:color w:val="0000FF"/>
        </w:rPr>
        <w:t>Table of Contents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SURGERY PARTNERS, INC.</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A summary of activity related to redeemable non-controlling interests for the years ended December 31, 2025 and 2024 is as follows (in millions):</w:t>
      </w: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182"/>
        </w:trPr>
        <w:tc>
          <w:tcPr>
            <w:tcW w:w="8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80" w:type="dxa"/>
            <w:vAlign w:val="bottom"/>
            <w:gridSpan w:val="3"/>
          </w:tcPr>
          <w:p>
            <w:pPr>
              <w:jc w:val="right"/>
              <w:ind w:right="4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20" w:type="dxa"/>
            <w:vAlign w:val="bottom"/>
          </w:tcPr>
          <w:p>
            <w:pPr>
              <w:spacing w:after="0"/>
              <w:rPr>
                <w:sz w:val="15"/>
                <w:szCs w:val="15"/>
                <w:color w:val="auto"/>
              </w:rPr>
            </w:pPr>
          </w:p>
        </w:tc>
      </w:tr>
      <w:tr>
        <w:trPr>
          <w:trHeight w:val="22"/>
        </w:trPr>
        <w:tc>
          <w:tcPr>
            <w:tcW w:w="81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81"/>
        </w:trPr>
        <w:tc>
          <w:tcPr>
            <w:tcW w:w="8140" w:type="dxa"/>
            <w:vAlign w:val="bottom"/>
          </w:tcPr>
          <w:p>
            <w:pPr>
              <w:spacing w:after="0"/>
              <w:rPr>
                <w:sz w:val="15"/>
                <w:szCs w:val="15"/>
                <w:color w:val="auto"/>
              </w:rPr>
            </w:pPr>
          </w:p>
        </w:tc>
        <w:tc>
          <w:tcPr>
            <w:tcW w:w="98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54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40"/>
        </w:trPr>
        <w:tc>
          <w:tcPr>
            <w:tcW w:w="8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206"/>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Balance at beginning of period</w:t>
            </w:r>
          </w:p>
        </w:tc>
        <w:tc>
          <w:tcPr>
            <w:tcW w:w="980" w:type="dxa"/>
            <w:vAlign w:val="bottom"/>
            <w:shd w:val="clear" w:color="auto" w:fill="CCEEFF"/>
          </w:tcPr>
          <w:p>
            <w:pPr>
              <w:jc w:val="right"/>
              <w:ind w:right="806"/>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438.8</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303"/>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327.4</w:t>
            </w:r>
          </w:p>
        </w:tc>
      </w:tr>
      <w:tr>
        <w:trPr>
          <w:trHeight w:val="203"/>
        </w:trPr>
        <w:tc>
          <w:tcPr>
            <w:tcW w:w="81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Net income attributable to non-controlling interests—redeemable</w:t>
            </w:r>
          </w:p>
        </w:tc>
        <w:tc>
          <w:tcPr>
            <w:tcW w:w="9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17.2</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36.8</w:t>
            </w:r>
          </w:p>
        </w:tc>
      </w:tr>
      <w:tr>
        <w:trPr>
          <w:trHeight w:val="209"/>
        </w:trPr>
        <w:tc>
          <w:tcPr>
            <w:tcW w:w="8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Acquisition and disposal of shares of non-controlling interests, net—redeemable</w:t>
            </w:r>
          </w:p>
        </w:tc>
        <w:tc>
          <w:tcPr>
            <w:tcW w:w="9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118.1</w:t>
            </w:r>
          </w:p>
        </w:tc>
      </w:tr>
      <w:tr>
        <w:trPr>
          <w:trHeight w:val="203"/>
        </w:trPr>
        <w:tc>
          <w:tcPr>
            <w:tcW w:w="81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5"/>
                <w:szCs w:val="15"/>
                <w:color w:val="auto"/>
              </w:rPr>
              <w:t>Distributions to non-controlling interest —redeemable holders</w:t>
            </w:r>
          </w:p>
        </w:tc>
        <w:tc>
          <w:tcPr>
            <w:tcW w:w="9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(46.5)</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(43.5)</w:t>
            </w:r>
          </w:p>
        </w:tc>
      </w:tr>
      <w:tr>
        <w:trPr>
          <w:trHeight w:val="227"/>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Balance at end of period</w:t>
            </w:r>
          </w:p>
        </w:tc>
        <w:tc>
          <w:tcPr>
            <w:tcW w:w="980" w:type="dxa"/>
            <w:vAlign w:val="bottom"/>
            <w:tcBorders>
              <w:bottom w:val="single" w:sz="8" w:color="auto"/>
            </w:tcBorders>
            <w:shd w:val="clear" w:color="auto" w:fill="CCEEFF"/>
          </w:tcPr>
          <w:p>
            <w:pPr>
              <w:jc w:val="right"/>
              <w:ind w:right="806"/>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395.5</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303"/>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438.8</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Cash and Cash Equivalents</w:t>
      </w:r>
    </w:p>
    <w:p>
      <w:pPr>
        <w:spacing w:after="0" w:line="115" w:lineRule="exact"/>
        <w:rPr>
          <w:sz w:val="20"/>
          <w:szCs w:val="20"/>
          <w:color w:val="auto"/>
        </w:rPr>
      </w:pPr>
    </w:p>
    <w:p>
      <w:pPr>
        <w:jc w:val="both"/>
        <w:ind w:firstLine="309"/>
        <w:spacing w:after="0" w:line="307" w:lineRule="auto"/>
        <w:rPr>
          <w:sz w:val="20"/>
          <w:szCs w:val="20"/>
          <w:color w:val="auto"/>
        </w:rPr>
      </w:pPr>
      <w:r>
        <w:rPr>
          <w:rFonts w:ascii="Times New Roman" w:cs="Times New Roman" w:eastAsia="Times New Roman" w:hAnsi="Times New Roman"/>
          <w:sz w:val="15"/>
          <w:szCs w:val="15"/>
          <w:color w:val="auto"/>
        </w:rPr>
        <w:t>The Company considers all highly liquid investments with remaining stated maturities of three months or less when purchased to be cash equivalents. The Company maintains its cash and cash equivalent balances at high credit quality financial institutions.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Inventories</w:t>
      </w:r>
    </w:p>
    <w:p>
      <w:pPr>
        <w:spacing w:after="0" w:line="12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Inventories, which consist primarily of medical and drug supplies, are stated at the lower of cost or market value. Cost is determined using the first-in, first-out method.</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Investments in Unconsolidated Affiliates</w:t>
      </w:r>
    </w:p>
    <w:p>
      <w:pPr>
        <w:spacing w:after="0" w:line="115" w:lineRule="exact"/>
        <w:rPr>
          <w:sz w:val="20"/>
          <w:szCs w:val="20"/>
          <w:color w:val="auto"/>
        </w:rPr>
      </w:pPr>
    </w:p>
    <w:p>
      <w:pPr>
        <w:jc w:val="both"/>
        <w:ind w:firstLine="309"/>
        <w:spacing w:after="0" w:line="265" w:lineRule="auto"/>
        <w:rPr>
          <w:sz w:val="20"/>
          <w:szCs w:val="20"/>
          <w:color w:val="auto"/>
        </w:rPr>
      </w:pPr>
      <w:r>
        <w:rPr>
          <w:rFonts w:ascii="Times New Roman" w:cs="Times New Roman" w:eastAsia="Times New Roman" w:hAnsi="Times New Roman"/>
          <w:sz w:val="15"/>
          <w:szCs w:val="15"/>
          <w:color w:val="auto"/>
        </w:rPr>
        <w:t>Investments in unconsolidated affiliates in which the Company exerts significant influence but does not control or otherwise consolidate are accounted for using the equity method. Equity method investments are initially recorded at cost, unless there is a deconsolidation where the investments are a result of the Company no longer having control of a previously controlled entity but still retaining a non-controlling interest. These investments are included as investments in and advances to affiliates in the accompanying consolidated balance sheets. The Company’s share of the profits and losses from these investments is reported in income from equity investments in the accompanying consolidated statements of operations. The Company monitors its investments for other-than-temporary impairment by considering factors such as current economic and market conditions and the operating performance of the investees and records reductions in carrying values when necessary.</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Fair Value of Financial Instruments</w:t>
      </w:r>
    </w:p>
    <w:p>
      <w:pPr>
        <w:spacing w:after="0" w:line="115" w:lineRule="exact"/>
        <w:rPr>
          <w:sz w:val="20"/>
          <w:szCs w:val="20"/>
          <w:color w:val="auto"/>
        </w:rPr>
      </w:pPr>
    </w:p>
    <w:p>
      <w:pPr>
        <w:jc w:val="both"/>
        <w:ind w:firstLine="309"/>
        <w:spacing w:after="0" w:line="307" w:lineRule="auto"/>
        <w:rPr>
          <w:sz w:val="20"/>
          <w:szCs w:val="20"/>
          <w:color w:val="auto"/>
        </w:rPr>
      </w:pPr>
      <w:r>
        <w:rPr>
          <w:rFonts w:ascii="Times New Roman" w:cs="Times New Roman" w:eastAsia="Times New Roman" w:hAnsi="Times New Roman"/>
          <w:sz w:val="15"/>
          <w:szCs w:val="15"/>
          <w:color w:val="auto"/>
        </w:rPr>
        <w:t>The fair value of a financial instrument is the amount at which the instrument could be exchanged in an orderly transaction between market participants to sell the asset or transfer the liability. The Company uses fair value measurements based on inputs classified into the following hierarchy:</w:t>
      </w:r>
    </w:p>
    <w:p>
      <w:pPr>
        <w:spacing w:after="0" w:line="36" w:lineRule="exact"/>
        <w:rPr>
          <w:sz w:val="20"/>
          <w:szCs w:val="20"/>
          <w:color w:val="auto"/>
        </w:rPr>
      </w:pPr>
    </w:p>
    <w:p>
      <w:pPr>
        <w:ind w:left="540" w:hanging="227"/>
        <w:spacing w:after="0"/>
        <w:tabs>
          <w:tab w:leader="none" w:pos="540"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Level 1: Unadjusted quoted prices in active markets for identical assets or liabilities.</w:t>
      </w:r>
    </w:p>
    <w:p>
      <w:pPr>
        <w:spacing w:after="0" w:line="59" w:lineRule="exact"/>
        <w:rPr>
          <w:rFonts w:ascii="Times New Roman" w:cs="Times New Roman" w:eastAsia="Times New Roman" w:hAnsi="Times New Roman"/>
          <w:sz w:val="15"/>
          <w:szCs w:val="15"/>
          <w:color w:val="auto"/>
        </w:rPr>
      </w:pPr>
    </w:p>
    <w:p>
      <w:pPr>
        <w:ind w:left="540" w:hanging="227"/>
        <w:spacing w:after="0" w:line="295" w:lineRule="auto"/>
        <w:tabs>
          <w:tab w:leader="none" w:pos="530"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Level 2: Inputs other than quoted prices that are observable for the asset or liability, either directly or indirectly. These may include quoted prices for similar assets or liabilities in active markets and quoted prices for identical or similar assets or liabilities in markets that are not active.</w:t>
      </w:r>
    </w:p>
    <w:p>
      <w:pPr>
        <w:spacing w:after="0" w:line="1" w:lineRule="exact"/>
        <w:rPr>
          <w:rFonts w:ascii="Times New Roman" w:cs="Times New Roman" w:eastAsia="Times New Roman" w:hAnsi="Times New Roman"/>
          <w:sz w:val="15"/>
          <w:szCs w:val="15"/>
          <w:color w:val="auto"/>
        </w:rPr>
      </w:pPr>
    </w:p>
    <w:p>
      <w:pPr>
        <w:ind w:left="540" w:hanging="227"/>
        <w:spacing w:after="0" w:line="289" w:lineRule="auto"/>
        <w:tabs>
          <w:tab w:leader="none" w:pos="530"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Level 3: Unobservable inputs in which little or no market data exists, therefore requiring an entity to develop its own assumptions, depending on the nature of the item being valued.</w:t>
      </w:r>
    </w:p>
    <w:p>
      <w:pPr>
        <w:spacing w:after="0" w:line="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A summary of the carrying amounts and estimated fair values of the Company's long-term debt follows (in millions):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0" w:type="dxa"/>
            <w:vAlign w:val="bottom"/>
            <w:gridSpan w:val="3"/>
          </w:tcPr>
          <w:p>
            <w:pPr>
              <w:jc w:val="right"/>
              <w:ind w:right="12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900" w:type="dxa"/>
            <w:vAlign w:val="bottom"/>
          </w:tcPr>
          <w:p>
            <w:pPr>
              <w:spacing w:after="0"/>
              <w:rPr>
                <w:sz w:val="15"/>
                <w:szCs w:val="15"/>
                <w:color w:val="auto"/>
              </w:rPr>
            </w:pPr>
          </w:p>
        </w:tc>
      </w:tr>
      <w:tr>
        <w:trPr>
          <w:trHeight w:val="22"/>
        </w:trPr>
        <w:tc>
          <w:tcPr>
            <w:tcW w:w="55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gridSpan w:val="3"/>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gridSpan w:val="3"/>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81"/>
        </w:trPr>
        <w:tc>
          <w:tcPr>
            <w:tcW w:w="55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3"/>
          </w:tcPr>
          <w:p>
            <w:pPr>
              <w:jc w:val="right"/>
              <w:ind w:right="8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3"/>
          </w:tcPr>
          <w:p>
            <w:pPr>
              <w:jc w:val="right"/>
              <w:ind w:right="2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00" w:type="dxa"/>
            <w:vAlign w:val="bottom"/>
            <w:tcBorders>
              <w:bottom w:val="single" w:sz="8" w:color="auto"/>
            </w:tcBorders>
          </w:tcPr>
          <w:p>
            <w:pPr>
              <w:spacing w:after="0"/>
              <w:rPr>
                <w:sz w:val="15"/>
                <w:szCs w:val="15"/>
                <w:color w:val="auto"/>
              </w:rPr>
            </w:pPr>
          </w:p>
        </w:tc>
      </w:tr>
      <w:tr>
        <w:trPr>
          <w:trHeight w:val="186"/>
        </w:trPr>
        <w:tc>
          <w:tcPr>
            <w:tcW w:w="55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4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4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89"/>
        </w:trPr>
        <w:tc>
          <w:tcPr>
            <w:tcW w:w="55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900" w:type="dxa"/>
            <w:vAlign w:val="bottom"/>
          </w:tcPr>
          <w:p>
            <w:pPr>
              <w:spacing w:after="0"/>
              <w:rPr>
                <w:sz w:val="7"/>
                <w:szCs w:val="7"/>
                <w:color w:val="auto"/>
              </w:rPr>
            </w:pPr>
          </w:p>
        </w:tc>
      </w:tr>
      <w:tr>
        <w:trPr>
          <w:trHeight w:val="206"/>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Senior secured term loan</w:t>
            </w:r>
          </w:p>
        </w:tc>
        <w:tc>
          <w:tcPr>
            <w:tcW w:w="32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1,374.4</w:t>
            </w: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323"/>
              <w:spacing w:after="0"/>
              <w:rPr>
                <w:sz w:val="20"/>
                <w:szCs w:val="20"/>
                <w:color w:val="auto"/>
              </w:rPr>
            </w:pPr>
            <w:r>
              <w:rPr>
                <w:rFonts w:ascii="Times New Roman" w:cs="Times New Roman" w:eastAsia="Times New Roman" w:hAnsi="Times New Roman"/>
                <w:sz w:val="15"/>
                <w:szCs w:val="15"/>
                <w:color w:val="auto"/>
                <w:w w:val="7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1,388.1</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1,379.6</w:t>
            </w: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63"/>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1,400.2</w:t>
            </w:r>
          </w:p>
        </w:tc>
      </w:tr>
      <w:tr>
        <w:trPr>
          <w:trHeight w:val="201"/>
        </w:trPr>
        <w:tc>
          <w:tcPr>
            <w:tcW w:w="55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7.250% senior unsecured notes due 2032</w:t>
            </w:r>
          </w:p>
        </w:tc>
        <w:tc>
          <w:tcPr>
            <w:tcW w:w="320" w:type="dxa"/>
            <w:vAlign w:val="bottom"/>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1,225.0</w:t>
            </w:r>
          </w:p>
        </w:tc>
        <w:tc>
          <w:tcPr>
            <w:tcW w:w="160" w:type="dxa"/>
            <w:vAlign w:val="bottom"/>
          </w:tcPr>
          <w:p>
            <w:pPr>
              <w:spacing w:after="0"/>
              <w:rPr>
                <w:sz w:val="17"/>
                <w:szCs w:val="17"/>
                <w:color w:val="auto"/>
              </w:rPr>
            </w:pPr>
          </w:p>
        </w:tc>
        <w:tc>
          <w:tcPr>
            <w:tcW w:w="480" w:type="dxa"/>
            <w:vAlign w:val="bottom"/>
          </w:tcPr>
          <w:p>
            <w:pPr>
              <w:jc w:val="right"/>
              <w:ind w:right="323"/>
              <w:spacing w:after="0"/>
              <w:rPr>
                <w:sz w:val="20"/>
                <w:szCs w:val="20"/>
                <w:color w:val="auto"/>
              </w:rPr>
            </w:pPr>
            <w:r>
              <w:rPr>
                <w:rFonts w:ascii="Times New Roman" w:cs="Times New Roman" w:eastAsia="Times New Roman" w:hAnsi="Times New Roman"/>
                <w:sz w:val="15"/>
                <w:szCs w:val="15"/>
                <w:color w:val="auto"/>
                <w:w w:val="7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800.0</w:t>
            </w:r>
          </w:p>
        </w:tc>
        <w:tc>
          <w:tcPr>
            <w:tcW w:w="100" w:type="dxa"/>
            <w:vAlign w:val="bottom"/>
          </w:tcPr>
          <w:p>
            <w:pPr>
              <w:spacing w:after="0"/>
              <w:rPr>
                <w:sz w:val="17"/>
                <w:szCs w:val="17"/>
                <w:color w:val="auto"/>
              </w:rPr>
            </w:pPr>
          </w:p>
        </w:tc>
        <w:tc>
          <w:tcPr>
            <w:tcW w:w="320" w:type="dxa"/>
            <w:vAlign w:val="bottom"/>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1,237.3</w:t>
            </w:r>
          </w:p>
        </w:tc>
        <w:tc>
          <w:tcPr>
            <w:tcW w:w="140" w:type="dxa"/>
            <w:vAlign w:val="bottom"/>
          </w:tcPr>
          <w:p>
            <w:pPr>
              <w:spacing w:after="0"/>
              <w:rPr>
                <w:sz w:val="17"/>
                <w:szCs w:val="17"/>
                <w:color w:val="auto"/>
              </w:rPr>
            </w:pPr>
          </w:p>
        </w:tc>
        <w:tc>
          <w:tcPr>
            <w:tcW w:w="440" w:type="dxa"/>
            <w:vAlign w:val="bottom"/>
          </w:tcPr>
          <w:p>
            <w:pPr>
              <w:jc w:val="right"/>
              <w:ind w:right="263"/>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815.0</w:t>
            </w:r>
          </w:p>
        </w:tc>
      </w:tr>
    </w:tbl>
    <w:p>
      <w:pPr>
        <w:spacing w:after="0" w:line="213" w:lineRule="exact"/>
        <w:rPr>
          <w:sz w:val="20"/>
          <w:szCs w:val="20"/>
          <w:color w:val="auto"/>
        </w:rPr>
      </w:pPr>
    </w:p>
    <w:p>
      <w:pPr>
        <w:jc w:val="both"/>
        <w:ind w:firstLine="309"/>
        <w:spacing w:after="0" w:line="307" w:lineRule="auto"/>
        <w:rPr>
          <w:sz w:val="20"/>
          <w:szCs w:val="20"/>
          <w:color w:val="auto"/>
        </w:rPr>
      </w:pPr>
      <w:r>
        <w:rPr>
          <w:rFonts w:ascii="Times New Roman" w:cs="Times New Roman" w:eastAsia="Times New Roman" w:hAnsi="Times New Roman"/>
          <w:sz w:val="15"/>
          <w:szCs w:val="15"/>
          <w:color w:val="auto"/>
        </w:rPr>
        <w:t>The fair values in the table above were based on Level 2 inputs using quoted prices for identical liabilities in inactive markets. The carrying amounts related to the Company's other long-term debt obligations, including finance lease obligations, approximate their fair values.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Variable Interest Entities</w:t>
      </w:r>
    </w:p>
    <w:p>
      <w:pPr>
        <w:spacing w:after="0" w:line="115" w:lineRule="exact"/>
        <w:rPr>
          <w:sz w:val="20"/>
          <w:szCs w:val="20"/>
          <w:color w:val="auto"/>
        </w:rPr>
      </w:pPr>
    </w:p>
    <w:p>
      <w:pPr>
        <w:jc w:val="both"/>
        <w:ind w:firstLine="309"/>
        <w:spacing w:after="0" w:line="279" w:lineRule="auto"/>
        <w:rPr>
          <w:sz w:val="20"/>
          <w:szCs w:val="20"/>
          <w:color w:val="auto"/>
        </w:rPr>
      </w:pPr>
      <w:r>
        <w:rPr>
          <w:rFonts w:ascii="Times New Roman" w:cs="Times New Roman" w:eastAsia="Times New Roman" w:hAnsi="Times New Roman"/>
          <w:sz w:val="15"/>
          <w:szCs w:val="15"/>
          <w:color w:val="auto"/>
        </w:rPr>
        <w:t>The consolidated financial statements include the accounts of variable interest entities ("VIE") in which the Company is the primary beneficiary under the provisions of the Financial Accounting Standards Board's ("FASB") Accounting Standards Codification 810, "</w:t>
      </w:r>
      <w:r>
        <w:rPr>
          <w:rFonts w:ascii="Times New Roman" w:cs="Times New Roman" w:eastAsia="Times New Roman" w:hAnsi="Times New Roman"/>
          <w:sz w:val="15"/>
          <w:szCs w:val="15"/>
          <w:i w:val="1"/>
          <w:iCs w:val="1"/>
          <w:color w:val="auto"/>
        </w:rPr>
        <w:t>Consolidation"</w:t>
      </w:r>
      <w:r>
        <w:rPr>
          <w:rFonts w:ascii="Times New Roman" w:cs="Times New Roman" w:eastAsia="Times New Roman" w:hAnsi="Times New Roman"/>
          <w:sz w:val="15"/>
          <w:szCs w:val="15"/>
          <w:color w:val="auto"/>
        </w:rPr>
        <w:t>. The Company has the power to direct the activities that most significantly impact a VIE's economic performance.</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1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2"/>
          <w:szCs w:val="12"/>
          <w:b w:val="1"/>
          <w:bCs w:val="1"/>
          <w:u w:val="single" w:color="auto"/>
          <w:color w:val="0000FF"/>
        </w:rPr>
        <w:t>Table of Contents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SURGERY PARTNERS, INC.</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5"/>
          <w:szCs w:val="15"/>
          <w:color w:val="auto"/>
        </w:rPr>
        <w:t>Additionally, the Company would absorb the majority of the expected losses from any of these entities should such expected losses occur. As of December 31, 2025, the Company's consolidated VIEs consisted of nine surgical facilities and 27 physician practices.</w:t>
      </w:r>
    </w:p>
    <w:p>
      <w:pPr>
        <w:spacing w:after="0" w:line="62" w:lineRule="exact"/>
        <w:rPr>
          <w:sz w:val="20"/>
          <w:szCs w:val="20"/>
          <w:color w:val="auto"/>
        </w:rPr>
      </w:pPr>
    </w:p>
    <w:p>
      <w:pPr>
        <w:jc w:val="both"/>
        <w:ind w:firstLine="309"/>
        <w:spacing w:after="0" w:line="289" w:lineRule="auto"/>
        <w:rPr>
          <w:sz w:val="20"/>
          <w:szCs w:val="20"/>
          <w:color w:val="auto"/>
        </w:rPr>
      </w:pPr>
      <w:r>
        <w:rPr>
          <w:rFonts w:ascii="Times New Roman" w:cs="Times New Roman" w:eastAsia="Times New Roman" w:hAnsi="Times New Roman"/>
          <w:sz w:val="15"/>
          <w:szCs w:val="15"/>
          <w:color w:val="auto"/>
        </w:rPr>
        <w:t>The total assets (excluding goodwill and intangible assets, net) of the consolidated VIEs included in the accompanying consolidated balance sheets as of December 31, 2025 and 2024, were $75.1 million and $87.0 million, respectively, and the total liabilities of the consolidated VIEs were $40.4 million and $55.0 million, respectively.</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Professional and General and Workers' Compensation Insurance</w:t>
      </w:r>
    </w:p>
    <w:p>
      <w:pPr>
        <w:spacing w:after="0" w:line="115" w:lineRule="exact"/>
        <w:rPr>
          <w:sz w:val="20"/>
          <w:szCs w:val="20"/>
          <w:color w:val="auto"/>
        </w:rPr>
      </w:pPr>
    </w:p>
    <w:p>
      <w:pPr>
        <w:jc w:val="both"/>
        <w:ind w:firstLine="309"/>
        <w:spacing w:after="0" w:line="269" w:lineRule="auto"/>
        <w:rPr>
          <w:sz w:val="20"/>
          <w:szCs w:val="20"/>
          <w:color w:val="auto"/>
        </w:rPr>
      </w:pPr>
      <w:r>
        <w:rPr>
          <w:rFonts w:ascii="Times New Roman" w:cs="Times New Roman" w:eastAsia="Times New Roman" w:hAnsi="Times New Roman"/>
          <w:sz w:val="15"/>
          <w:szCs w:val="15"/>
          <w:color w:val="auto"/>
        </w:rPr>
        <w:t>The Company maintains general liability and professional liability insurance in excess of self-insured retentions through third party commercial insurance carriers in amounts that management believes is sufficient for the Company's operations, although, potentially, some claims may exceed the scope of coverage in effect. The professional liability insurance coverage is on a claims-made basis and the general liability insurance is on an occurrence basis. The Company also maintains workers' compensation insurance, subject to a self-insured retention.</w:t>
      </w:r>
    </w:p>
    <w:p>
      <w:pPr>
        <w:spacing w:after="0" w:line="78" w:lineRule="exact"/>
        <w:rPr>
          <w:sz w:val="20"/>
          <w:szCs w:val="20"/>
          <w:color w:val="auto"/>
        </w:rPr>
      </w:pPr>
    </w:p>
    <w:p>
      <w:pPr>
        <w:jc w:val="both"/>
        <w:ind w:firstLine="309"/>
        <w:spacing w:after="0" w:line="269" w:lineRule="auto"/>
        <w:rPr>
          <w:sz w:val="20"/>
          <w:szCs w:val="20"/>
          <w:color w:val="auto"/>
        </w:rPr>
      </w:pPr>
      <w:r>
        <w:rPr>
          <w:rFonts w:ascii="Times New Roman" w:cs="Times New Roman" w:eastAsia="Times New Roman" w:hAnsi="Times New Roman"/>
          <w:sz w:val="15"/>
          <w:szCs w:val="15"/>
          <w:color w:val="auto"/>
        </w:rPr>
        <w:t>The Company expenses the costs under the self-insured retention exposure for general and professional liability and workers' compensation claims which relate to (i) claims made during the policy period, which are offset by insurance recoveries and (ii) an estimate of claims incurred but not yet reported that are expected to be reported after the policy period expires. Reserves and provisions are based upon actuarially determined estimates using individual case-basis valuations and actuarial analysis. Reserves for professional, general and workers' compensation claim liabilities are determined with no regard for expected insurance recoveries and are presented gross on the consolidated balance sheets.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Recent Accounting Pronouncements</w:t>
      </w:r>
    </w:p>
    <w:p>
      <w:pPr>
        <w:spacing w:after="0" w:line="98" w:lineRule="exact"/>
        <w:rPr>
          <w:sz w:val="20"/>
          <w:szCs w:val="20"/>
          <w:color w:val="auto"/>
        </w:rPr>
      </w:pPr>
    </w:p>
    <w:p>
      <w:pPr>
        <w:jc w:val="both"/>
        <w:ind w:firstLine="309"/>
        <w:spacing w:after="0" w:line="263" w:lineRule="auto"/>
        <w:rPr>
          <w:sz w:val="20"/>
          <w:szCs w:val="20"/>
          <w:color w:val="auto"/>
        </w:rPr>
      </w:pPr>
      <w:r>
        <w:rPr>
          <w:rFonts w:ascii="Times New Roman" w:cs="Times New Roman" w:eastAsia="Times New Roman" w:hAnsi="Times New Roman"/>
          <w:sz w:val="15"/>
          <w:szCs w:val="15"/>
          <w:color w:val="auto"/>
        </w:rPr>
        <w:t xml:space="preserve">In December 2023, the FASB issued ASU 2023-09, </w:t>
      </w:r>
      <w:r>
        <w:rPr>
          <w:rFonts w:ascii="Times New Roman" w:cs="Times New Roman" w:eastAsia="Times New Roman" w:hAnsi="Times New Roman"/>
          <w:sz w:val="15"/>
          <w:szCs w:val="15"/>
          <w:i w:val="1"/>
          <w:iCs w:val="1"/>
          <w:color w:val="auto"/>
        </w:rPr>
        <w:t>Income Taxes (Topic 740), Improvements to Income Tax Disclosures</w:t>
      </w:r>
      <w:r>
        <w:rPr>
          <w:rFonts w:ascii="Times New Roman" w:cs="Times New Roman" w:eastAsia="Times New Roman" w:hAnsi="Times New Roman"/>
          <w:sz w:val="15"/>
          <w:szCs w:val="15"/>
          <w:color w:val="auto"/>
        </w:rPr>
        <w:t>, which established new requirements for the categorization and disaggregation of information in the rate reconciliation as well as for disaggregation of income taxes paid. The Company adopted and prospectively applied ASU 2023-09 effective January 1, 2025 and there was no material impact on our consolidated financial statements.</w:t>
      </w:r>
    </w:p>
    <w:p>
      <w:pPr>
        <w:spacing w:after="0" w:line="65" w:lineRule="exact"/>
        <w:rPr>
          <w:sz w:val="20"/>
          <w:szCs w:val="20"/>
          <w:color w:val="auto"/>
        </w:rPr>
      </w:pPr>
    </w:p>
    <w:p>
      <w:pPr>
        <w:jc w:val="both"/>
        <w:ind w:firstLine="309"/>
        <w:spacing w:after="0" w:line="249" w:lineRule="auto"/>
        <w:rPr>
          <w:sz w:val="20"/>
          <w:szCs w:val="20"/>
          <w:color w:val="auto"/>
        </w:rPr>
      </w:pPr>
      <w:r>
        <w:rPr>
          <w:rFonts w:ascii="Times New Roman" w:cs="Times New Roman" w:eastAsia="Times New Roman" w:hAnsi="Times New Roman"/>
          <w:sz w:val="15"/>
          <w:szCs w:val="15"/>
          <w:color w:val="auto"/>
        </w:rPr>
        <w:t xml:space="preserve">In November 2024, the FASB issued ASU 2024-03, </w:t>
      </w:r>
      <w:r>
        <w:rPr>
          <w:rFonts w:ascii="Times New Roman" w:cs="Times New Roman" w:eastAsia="Times New Roman" w:hAnsi="Times New Roman"/>
          <w:sz w:val="15"/>
          <w:szCs w:val="15"/>
          <w:i w:val="1"/>
          <w:iCs w:val="1"/>
          <w:color w:val="auto"/>
        </w:rPr>
        <w:t>Income Statement – Reporting Comprehensive Income – Expense Disaggregation Disclosures (Subtopic 22-40):</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 xml:space="preserve">Disaggregation of Income Statement Expenses, </w:t>
      </w:r>
      <w:r>
        <w:rPr>
          <w:rFonts w:ascii="Times New Roman" w:cs="Times New Roman" w:eastAsia="Times New Roman" w:hAnsi="Times New Roman"/>
          <w:sz w:val="15"/>
          <w:szCs w:val="15"/>
          <w:color w:val="auto"/>
        </w:rPr>
        <w:t>which requires entities to provide enhanced disclosures related to certain expense categories included in income statement captions.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The ASU aims to increase transparency and provide investors with more detailed information about the nature of expenses reported on the face of the income statement. The new standard does not change the requirements for the presentation of expenses on the face of the income statement. The ASU is effective for annual reporting periods beginning after December 15, 2026 and interim reporting periods beginning after December 15, 2027. Early adoption is permitted. The Company is currently evaluating the impact this ASU may have on its financial statements and related disclosures.</w:t>
      </w:r>
    </w:p>
    <w:p>
      <w:pPr>
        <w:spacing w:after="0" w:line="61" w:lineRule="exact"/>
        <w:rPr>
          <w:sz w:val="20"/>
          <w:szCs w:val="20"/>
          <w:color w:val="auto"/>
        </w:rPr>
      </w:pPr>
    </w:p>
    <w:p>
      <w:pPr>
        <w:jc w:val="both"/>
        <w:ind w:firstLine="309"/>
        <w:spacing w:after="0" w:line="253" w:lineRule="auto"/>
        <w:rPr>
          <w:sz w:val="20"/>
          <w:szCs w:val="20"/>
          <w:color w:val="auto"/>
        </w:rPr>
      </w:pPr>
      <w:r>
        <w:rPr>
          <w:rFonts w:ascii="Times New Roman" w:cs="Times New Roman" w:eastAsia="Times New Roman" w:hAnsi="Times New Roman"/>
          <w:sz w:val="15"/>
          <w:szCs w:val="15"/>
          <w:color w:val="auto"/>
        </w:rPr>
        <w:t xml:space="preserve">In November 2025, the FASB issued ASU 2025-09, </w:t>
      </w:r>
      <w:r>
        <w:rPr>
          <w:rFonts w:ascii="Times New Roman" w:cs="Times New Roman" w:eastAsia="Times New Roman" w:hAnsi="Times New Roman"/>
          <w:sz w:val="15"/>
          <w:szCs w:val="15"/>
          <w:i w:val="1"/>
          <w:iCs w:val="1"/>
          <w:color w:val="auto"/>
        </w:rPr>
        <w:t>Derivatives and Hedging (Topic 815): Hedge Accounting Improvements</w:t>
      </w:r>
      <w:r>
        <w:rPr>
          <w:rFonts w:ascii="Times New Roman" w:cs="Times New Roman" w:eastAsia="Times New Roman" w:hAnsi="Times New Roman"/>
          <w:sz w:val="15"/>
          <w:szCs w:val="15"/>
          <w:color w:val="auto"/>
        </w:rPr>
        <w:t>, which amends certain aspects of the hedge accounting guidance in ASC 815, to more closely align hedge accounting with the economics of an entity’s risk management activities. The ASU provides guidance on five discrete topics, including a topic pertaining to cash flow hedges. The ASU is effective for annual reporting periods beginning after December 15, 2026, including interim periods within those fiscal years. Early adoption is permitted and entities must apply the ASU prospectively for all hedging relationships as of the date of adoption. The Company is currently evaluating the impact this ASU may have on its financial statements and related disclosures.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2. Acquisitions, Disposals and Deconsolidations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Acquisitions</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During the year ended December 31, 2025:</w:t>
      </w:r>
    </w:p>
    <w:p>
      <w:pPr>
        <w:spacing w:after="0" w:line="124" w:lineRule="exact"/>
        <w:rPr>
          <w:sz w:val="20"/>
          <w:szCs w:val="20"/>
          <w:color w:val="auto"/>
        </w:rPr>
      </w:pPr>
    </w:p>
    <w:p>
      <w:pPr>
        <w:jc w:val="both"/>
        <w:ind w:left="540" w:hanging="227"/>
        <w:spacing w:after="0" w:line="279" w:lineRule="auto"/>
        <w:tabs>
          <w:tab w:leader="none" w:pos="530"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acquired a controlling interest in 12 surgical facilities, several physician practices and other ancillary businesses for aggregate cash consideration of $162.1 million, net of cash acquired, and non-cash consideration of $2.3 million, which consisted of a non-controlling interest in one of the Company's existing surgical facilities. In connection with these acquisitions, the Company preliminarily recognized non-controlling interests of $29.9 million and goodwill of $186.0 million.</w:t>
      </w:r>
    </w:p>
    <w:p>
      <w:pPr>
        <w:spacing w:after="0" w:line="55" w:lineRule="exact"/>
        <w:rPr>
          <w:rFonts w:ascii="Times New Roman" w:cs="Times New Roman" w:eastAsia="Times New Roman" w:hAnsi="Times New Roman"/>
          <w:sz w:val="15"/>
          <w:szCs w:val="15"/>
          <w:color w:val="auto"/>
        </w:rPr>
      </w:pPr>
    </w:p>
    <w:p>
      <w:pPr>
        <w:jc w:val="both"/>
        <w:ind w:left="540" w:hanging="227"/>
        <w:spacing w:after="0" w:line="279" w:lineRule="auto"/>
        <w:tabs>
          <w:tab w:leader="none" w:pos="530"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acquired a non-controlling interest in four surgical facilities for aggregate cash consideration of $16.2 million, a portion of which was deferred in accordance with the purchase agreements. These non-controlling interests were accounted for as equity method investments and recorded as a component of investments in and advances to affiliates in the consolidated balance sheets.</w:t>
      </w:r>
    </w:p>
    <w:p>
      <w:pPr>
        <w:spacing w:after="0" w:line="5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During the year ended December 31, 2024:</w:t>
      </w:r>
    </w:p>
    <w:p>
      <w:pPr>
        <w:spacing w:after="0" w:line="124" w:lineRule="exact"/>
        <w:rPr>
          <w:sz w:val="20"/>
          <w:szCs w:val="20"/>
          <w:color w:val="auto"/>
        </w:rPr>
      </w:pPr>
    </w:p>
    <w:p>
      <w:pPr>
        <w:jc w:val="both"/>
        <w:ind w:left="540" w:hanging="227"/>
        <w:spacing w:after="0" w:line="269" w:lineRule="auto"/>
        <w:tabs>
          <w:tab w:leader="none" w:pos="530"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acquired a controlling interest in eight surgical facilities and several physician practices for aggregate cash consideration of $378.8 million, net of cash acquired, and non-cash consideration of $1.1 million, which consisted of a non-controlling interest in one of the Company's existing surgical facilities. In connection with these acquisitions, the Company preliminarily recognized non-controlling interests of $478.9 million, goodwill of $767.7 million and investments and advances to affiliates of $44.6 million related to an acquired surgical facility accounted for as an equity method investment.</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2"/>
          <w:szCs w:val="12"/>
          <w:b w:val="1"/>
          <w:bCs w:val="1"/>
          <w:u w:val="single" w:color="auto"/>
          <w:color w:val="0000FF"/>
        </w:rPr>
        <w:t>Table of Contents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SURGERY PARTNERS, INC.</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During the year ended December 31, 2023:</w:t>
      </w:r>
    </w:p>
    <w:p>
      <w:pPr>
        <w:spacing w:after="0" w:line="111" w:lineRule="exact"/>
        <w:rPr>
          <w:sz w:val="20"/>
          <w:szCs w:val="20"/>
          <w:color w:val="auto"/>
        </w:rPr>
      </w:pPr>
    </w:p>
    <w:p>
      <w:pPr>
        <w:jc w:val="both"/>
        <w:ind w:left="540" w:hanging="227"/>
        <w:spacing w:after="0" w:line="280" w:lineRule="auto"/>
        <w:tabs>
          <w:tab w:leader="none" w:pos="530" w:val="left"/>
        </w:tabs>
        <w:numPr>
          <w:ilvl w:val="0"/>
          <w:numId w:val="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acquired a controlling interest in five surgical facilities, four physician practices and an in-development de novo surgical facility for aggregate cash consideration of $55.5 million, net of cash acquired, and non-cash consideration of $1.3 million, which consisted of non-controlling interest in one of the Company's existing surgical facilities. In connection with these acquisitions, the Company preliminarily recognized non-controlling interests of $38.7 million and goodwill of $84.7 million.</w:t>
      </w:r>
    </w:p>
    <w:p>
      <w:pPr>
        <w:spacing w:after="0" w:line="247" w:lineRule="exact"/>
        <w:rPr>
          <w:rFonts w:ascii="Times New Roman" w:cs="Times New Roman" w:eastAsia="Times New Roman" w:hAnsi="Times New Roman"/>
          <w:sz w:val="15"/>
          <w:szCs w:val="15"/>
          <w:color w:val="auto"/>
        </w:rPr>
      </w:pPr>
    </w:p>
    <w:p>
      <w:pPr>
        <w:jc w:val="both"/>
        <w:ind w:left="540" w:hanging="227"/>
        <w:spacing w:after="0" w:line="262" w:lineRule="auto"/>
        <w:tabs>
          <w:tab w:leader="none" w:pos="530" w:val="left"/>
        </w:tabs>
        <w:numPr>
          <w:ilvl w:val="0"/>
          <w:numId w:val="30"/>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color w:val="auto"/>
        </w:rPr>
        <w:t>The Company acquired a controlling interest in six surgical facilities and an in-development de novo surgical facility, which were previously accounted for as equity method investments, for aggregate cash consideration of $24.3 million, net of cash acquired. The Company also amended the operating agreement of a previously non-controlled surgical facility resulting in the Company obtaining a controlling interest in the facility. These transactions resulted in the consolidation of the previously non-consolidated entities. The previously held non-controlling interests were remeasured and recorded at fair value as of the dates of the transactions. The fair value measurement utilizes Level 3 inputs, which includes unobservable data. The acquisition date fair value of the previously held non-controlling interests was $38.7 million. As a result of increasing its ownership interest, the Company recognized a net loss of $9.3 million included in net loss on disposals, consolidations and deconsolidations in the consolidated statements of operations for the year ended December 31, 2023. The net loss was determined based on the difference between the fair value of the Company's previously held non-controlling interests in the entities and the carrying values immediately prior to the transactions. In connection with the consolidation of these facilities, the Company preliminarily recognized non-controlling interests of $84.5 million and goodwill of $142.5 million.</w:t>
      </w:r>
    </w:p>
    <w:p>
      <w:pPr>
        <w:spacing w:after="0" w:line="71" w:lineRule="exact"/>
        <w:rPr>
          <w:rFonts w:ascii="Times New Roman" w:cs="Times New Roman" w:eastAsia="Times New Roman" w:hAnsi="Times New Roman"/>
          <w:sz w:val="15"/>
          <w:szCs w:val="15"/>
          <w:i w:val="1"/>
          <w:iCs w:val="1"/>
          <w:color w:val="auto"/>
        </w:rPr>
      </w:pPr>
    </w:p>
    <w:p>
      <w:pPr>
        <w:jc w:val="both"/>
        <w:ind w:left="540" w:hanging="227"/>
        <w:spacing w:after="0" w:line="266" w:lineRule="auto"/>
        <w:tabs>
          <w:tab w:leader="none" w:pos="530" w:val="left"/>
        </w:tabs>
        <w:numPr>
          <w:ilvl w:val="0"/>
          <w:numId w:val="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acquired non-controlling interests in five surgical facilities and two in-development de novo surgical facilities for aggregate cash consideration of $50.3 million. The non-controlling interests were accounted for as equity method investments and recorded as a component of investments in and advances to affiliates in the consolidated balance sheets. The Company also paid cash consideration of $21.0 million to acquire management rights from the prior management service provider related to four of the aforementioned surgical facilities. Management rights agreements are accounted for and recorded as a component of intangibles assets, net in the accompanying consolidated balance sheets. The cash paid to acquire the management rights is presented as a component of other investing activities on the consolidated statements of cash flows.</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Disposals and Deconsolidations</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During the year ended December 31, 2025:</w:t>
      </w:r>
    </w:p>
    <w:p>
      <w:pPr>
        <w:spacing w:after="0" w:line="124" w:lineRule="exact"/>
        <w:rPr>
          <w:sz w:val="20"/>
          <w:szCs w:val="20"/>
          <w:color w:val="auto"/>
        </w:rPr>
      </w:pPr>
    </w:p>
    <w:p>
      <w:pPr>
        <w:jc w:val="both"/>
        <w:ind w:left="540" w:hanging="227"/>
        <w:spacing w:after="0" w:line="270" w:lineRule="auto"/>
        <w:tabs>
          <w:tab w:leader="none" w:pos="530"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sold its controlling interests in three surgical facilities and one physician practice for aggregate net cash proceeds of $42.4 million. In connection with the transactions, the Company recognized a pre-tax net gain of $7.8 million, which is included in net loss on disposals, consolidations and deconsolidations in the accompanying consolidated statements of operations for the year ended December 31, 2025.</w:t>
      </w:r>
    </w:p>
    <w:p>
      <w:pPr>
        <w:spacing w:after="0" w:line="75" w:lineRule="exact"/>
        <w:rPr>
          <w:rFonts w:ascii="Times New Roman" w:cs="Times New Roman" w:eastAsia="Times New Roman" w:hAnsi="Times New Roman"/>
          <w:sz w:val="15"/>
          <w:szCs w:val="15"/>
          <w:color w:val="auto"/>
        </w:rPr>
      </w:pPr>
    </w:p>
    <w:p>
      <w:pPr>
        <w:jc w:val="both"/>
        <w:ind w:left="540" w:hanging="227"/>
        <w:spacing w:after="0" w:line="266" w:lineRule="auto"/>
        <w:tabs>
          <w:tab w:leader="none" w:pos="530"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sold a portion of its interests in two surgical facilities for net cash proceeds of $4.1 million. As a result of these transactions, the Company no longer controlled the previously controlled surgical facilities but retained non-controlling interests, resulting in the deconsolidation of the previously consolidated entities. These transactions resulted in a pre-tax net gain on deconsolidation of $10.7 million, which is included in net loss on disposals, consolidations and deconsolidations in the accompanying consolidated statements of operations for the year ended December 31, 2025. The net gain was determined based on the difference between the net cash proceeds plus the fair value of the Company’s retained interests in the entity and the carrying values of both the tangible and intangible assets and liabilities of the entity immediately prior to the transaction.</w:t>
      </w:r>
    </w:p>
    <w:p>
      <w:pPr>
        <w:spacing w:after="0" w:line="25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During the year ended December 31, 2024:</w:t>
      </w:r>
    </w:p>
    <w:p>
      <w:pPr>
        <w:spacing w:after="0" w:line="124" w:lineRule="exact"/>
        <w:rPr>
          <w:sz w:val="20"/>
          <w:szCs w:val="20"/>
          <w:color w:val="auto"/>
        </w:rPr>
      </w:pPr>
    </w:p>
    <w:p>
      <w:pPr>
        <w:jc w:val="both"/>
        <w:ind w:left="540" w:hanging="227"/>
        <w:spacing w:after="0" w:line="270" w:lineRule="auto"/>
        <w:tabs>
          <w:tab w:leader="none" w:pos="530" w:val="left"/>
        </w:tabs>
        <w:numPr>
          <w:ilvl w:val="0"/>
          <w:numId w:val="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sold or otherwise disposed of its non-controlling interests in three surgical facilities, which were previously accounted for as a equity method investments, for cash proceeds of $2.6 million. In connection with these transactions, the Company recognized a pre-tax loss of $9.5 million, which is included in net loss on disposals, consolidations and deconsolidations in the accompanying consolidated statements of operations for the year ended December 31, 2024.</w:t>
      </w:r>
    </w:p>
    <w:p>
      <w:pPr>
        <w:spacing w:after="0" w:line="75" w:lineRule="exact"/>
        <w:rPr>
          <w:rFonts w:ascii="Times New Roman" w:cs="Times New Roman" w:eastAsia="Times New Roman" w:hAnsi="Times New Roman"/>
          <w:sz w:val="15"/>
          <w:szCs w:val="15"/>
          <w:color w:val="auto"/>
        </w:rPr>
      </w:pPr>
    </w:p>
    <w:p>
      <w:pPr>
        <w:jc w:val="both"/>
        <w:ind w:left="540" w:hanging="227"/>
        <w:spacing w:after="0" w:line="265" w:lineRule="auto"/>
        <w:tabs>
          <w:tab w:leader="none" w:pos="530" w:val="left"/>
        </w:tabs>
        <w:numPr>
          <w:ilvl w:val="0"/>
          <w:numId w:val="32"/>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color w:val="auto"/>
        </w:rPr>
        <w:t>The Company sold a portion of its interests in one surgical facility for net cash proceeds of $2.5 million. As a result of the transaction, the Company no longer controlled the previously controlled surgical facility but retained a non-controlling interest, resulting in the deconsolidation of the previously consolidated entity. This transaction resulted in a pretax net gain on deconsolidation of $2.7 million, which is included in net loss on disposals, consolidations and deconsolidations in the accompanying consolidated statements of operations for the year ended December 31, 2024. The net gain was determined based on the difference between the net cash proceeds plus the fair value of the Company’s retained interests in the entity and the carrying values of both the tangible and intangible assets of the entity immediately prior to the transaction.</w:t>
      </w:r>
    </w:p>
    <w:p>
      <w:pPr>
        <w:spacing w:after="0" w:line="79" w:lineRule="exact"/>
        <w:rPr>
          <w:rFonts w:ascii="Times New Roman" w:cs="Times New Roman" w:eastAsia="Times New Roman" w:hAnsi="Times New Roman"/>
          <w:sz w:val="15"/>
          <w:szCs w:val="15"/>
          <w:i w:val="1"/>
          <w:iCs w:val="1"/>
          <w:color w:val="auto"/>
        </w:rPr>
      </w:pPr>
    </w:p>
    <w:p>
      <w:pPr>
        <w:jc w:val="both"/>
        <w:ind w:left="540" w:hanging="227"/>
        <w:spacing w:after="0" w:line="273" w:lineRule="auto"/>
        <w:tabs>
          <w:tab w:leader="none" w:pos="530" w:val="left"/>
        </w:tabs>
        <w:numPr>
          <w:ilvl w:val="0"/>
          <w:numId w:val="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sold or otherwise disposed of its controlling interests in nine surgical facilities and a physician practice for aggregate net cash proceeds of $5.4 million, a portion of which is deferred pursuant to the purchase agreements for such transactions. In connection with the transactions, the Company recognized a pre-tax net loss of $14.6 million, which is included in net loss on disposals, consolidations and deconsolidations in the accompanying consolidated statements of operations for the year ended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2"/>
          <w:szCs w:val="12"/>
          <w:b w:val="1"/>
          <w:bCs w:val="1"/>
          <w:u w:val="single" w:color="auto"/>
          <w:color w:val="0000FF"/>
        </w:rPr>
        <w:t>Table of Contents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SURGERY PARTNERS, INC.</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540" w:hanging="227"/>
        <w:spacing w:after="0" w:line="289" w:lineRule="auto"/>
        <w:tabs>
          <w:tab w:leader="none" w:pos="530"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recognized a pre-tax loss of $10.0 million related to an equity investment previously held at cost, which is included in net loss on disposals, consolidations and deconsolidations in the accompanying consolidated statements of operations for the year ended December 31, 2024.</w:t>
      </w:r>
    </w:p>
    <w:p>
      <w:pPr>
        <w:spacing w:after="0" w:line="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During the year ended December 31, 2023:</w:t>
      </w:r>
    </w:p>
    <w:p>
      <w:pPr>
        <w:spacing w:after="0" w:line="111" w:lineRule="exact"/>
        <w:rPr>
          <w:sz w:val="20"/>
          <w:szCs w:val="20"/>
          <w:color w:val="auto"/>
        </w:rPr>
      </w:pPr>
    </w:p>
    <w:p>
      <w:pPr>
        <w:jc w:val="both"/>
        <w:ind w:left="540" w:hanging="227"/>
        <w:spacing w:after="0" w:line="279" w:lineRule="auto"/>
        <w:tabs>
          <w:tab w:leader="none" w:pos="530"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sold its interests in six surgical facilities for aggregate net cash proceeds of $30.4 million, a portion of which was held in escrow pursuant to the purchase agreements for such transactions. In connection with these transactions, the Company recognized a pre-tax gain of $26.9 million included in net loss on disposals, consolidations and deconsolidations in the consolidated statements of operations for the year ended December 31, 2023.</w:t>
      </w:r>
    </w:p>
    <w:p>
      <w:pPr>
        <w:spacing w:after="0" w:line="55" w:lineRule="exact"/>
        <w:rPr>
          <w:rFonts w:ascii="Times New Roman" w:cs="Times New Roman" w:eastAsia="Times New Roman" w:hAnsi="Times New Roman"/>
          <w:sz w:val="15"/>
          <w:szCs w:val="15"/>
          <w:color w:val="auto"/>
        </w:rPr>
      </w:pPr>
    </w:p>
    <w:p>
      <w:pPr>
        <w:jc w:val="both"/>
        <w:ind w:left="540" w:hanging="227"/>
        <w:spacing w:after="0" w:line="279" w:lineRule="auto"/>
        <w:tabs>
          <w:tab w:leader="none" w:pos="530"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disposed of its non-controlling interests in a surgical facility and an in-development de novo surgical facility, which were previously accounted for as equity method investments, for cash proceeds of $1.5 million. In connection with these transactions, the Company recognized a pre-tax loss of $13.7 million included in net loss on disposals, consolidations and deconsolidations in the consolidated statements of operations for the year ended December 31, 2023.</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w:t>
      </w:r>
      <w:r>
        <w:rPr>
          <w:rFonts w:ascii="Times New Roman" w:cs="Times New Roman" w:eastAsia="Times New Roman" w:hAnsi="Times New Roman"/>
          <w:sz w:val="15"/>
          <w:szCs w:val="15"/>
          <w:b w:val="1"/>
          <w:bCs w:val="1"/>
          <w:color w:val="auto"/>
        </w:rPr>
        <w:t>. Property and Equipment</w:t>
      </w:r>
    </w:p>
    <w:p>
      <w:pPr>
        <w:spacing w:after="0" w:line="122" w:lineRule="exact"/>
        <w:rPr>
          <w:sz w:val="20"/>
          <w:szCs w:val="20"/>
          <w:color w:val="auto"/>
        </w:rPr>
      </w:pPr>
    </w:p>
    <w:p>
      <w:pPr>
        <w:jc w:val="both"/>
        <w:ind w:firstLine="309"/>
        <w:spacing w:after="0" w:line="269" w:lineRule="auto"/>
        <w:rPr>
          <w:sz w:val="20"/>
          <w:szCs w:val="20"/>
          <w:color w:val="auto"/>
        </w:rPr>
      </w:pPr>
      <w:r>
        <w:rPr>
          <w:rFonts w:ascii="Times New Roman" w:cs="Times New Roman" w:eastAsia="Times New Roman" w:hAnsi="Times New Roman"/>
          <w:sz w:val="15"/>
          <w:szCs w:val="15"/>
          <w:color w:val="auto"/>
        </w:rPr>
        <w:t>Property and equipment are stated at cost or, if obtained through acquisition, at fair value determined on the date of acquisition. Depreciation is recognized using the straight-line method over the estimated useful lives of the assets, generally 20 to 40 years for buildings and building improvements, three to five years for computers and software and five to seven years for furniture and equipment. Leasehold improvements are depreciated on a straight-line basis over the shorter of the lease term or the estimated useful life of the assets. Routine maintenance and repairs are expensed as incurred, while expenditures that increase capacities or extend useful lives are capitalized.</w:t>
      </w:r>
    </w:p>
    <w:p>
      <w:pPr>
        <w:spacing w:after="0" w:line="65" w:lineRule="exact"/>
        <w:rPr>
          <w:sz w:val="20"/>
          <w:szCs w:val="20"/>
          <w:color w:val="auto"/>
        </w:rPr>
      </w:pPr>
    </w:p>
    <w:p>
      <w:pPr>
        <w:jc w:val="both"/>
        <w:ind w:firstLine="309"/>
        <w:spacing w:after="0" w:line="289" w:lineRule="auto"/>
        <w:rPr>
          <w:sz w:val="20"/>
          <w:szCs w:val="20"/>
          <w:color w:val="auto"/>
        </w:rPr>
      </w:pPr>
      <w:r>
        <w:rPr>
          <w:rFonts w:ascii="Times New Roman" w:cs="Times New Roman" w:eastAsia="Times New Roman" w:hAnsi="Times New Roman"/>
          <w:sz w:val="15"/>
          <w:szCs w:val="15"/>
          <w:color w:val="auto"/>
        </w:rPr>
        <w:t>The Company also leases certain facilities and equipment under finance leases. Assets held under finance leases are stated at the present value of lease payments at the inception of the related lease. Such assets are amortized on a straight-line basis over the lesser of the lease term or the remaining useful life of the leased asset.</w:t>
      </w:r>
    </w:p>
    <w:p>
      <w:pPr>
        <w:spacing w:after="0" w:line="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A summary of property and equipment follows (in millions):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00" w:type="dxa"/>
            <w:vAlign w:val="bottom"/>
            <w:gridSpan w:val="3"/>
          </w:tcPr>
          <w:p>
            <w:pPr>
              <w:jc w:val="right"/>
              <w:ind w:right="2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20" w:type="dxa"/>
            <w:vAlign w:val="bottom"/>
          </w:tcPr>
          <w:p>
            <w:pPr>
              <w:spacing w:after="0"/>
              <w:rPr>
                <w:sz w:val="15"/>
                <w:szCs w:val="15"/>
                <w:color w:val="auto"/>
              </w:rPr>
            </w:pPr>
          </w:p>
        </w:tc>
      </w:tr>
      <w:tr>
        <w:trPr>
          <w:trHeight w:val="22"/>
        </w:trPr>
        <w:tc>
          <w:tcPr>
            <w:tcW w:w="84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81"/>
        </w:trPr>
        <w:tc>
          <w:tcPr>
            <w:tcW w:w="8400" w:type="dxa"/>
            <w:vAlign w:val="bottom"/>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6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89"/>
        </w:trPr>
        <w:tc>
          <w:tcPr>
            <w:tcW w:w="8400" w:type="dxa"/>
            <w:vAlign w:val="bottom"/>
          </w:tcPr>
          <w:p>
            <w:pPr>
              <w:spacing w:after="0"/>
              <w:rPr>
                <w:sz w:val="7"/>
                <w:szCs w:val="7"/>
                <w:color w:val="auto"/>
              </w:rPr>
            </w:pPr>
          </w:p>
        </w:tc>
        <w:tc>
          <w:tcPr>
            <w:tcW w:w="8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420" w:type="dxa"/>
            <w:vAlign w:val="bottom"/>
          </w:tcPr>
          <w:p>
            <w:pPr>
              <w:spacing w:after="0"/>
              <w:rPr>
                <w:sz w:val="7"/>
                <w:szCs w:val="7"/>
                <w:color w:val="auto"/>
              </w:rPr>
            </w:pPr>
          </w:p>
        </w:tc>
        <w:tc>
          <w:tcPr>
            <w:tcW w:w="920" w:type="dxa"/>
            <w:vAlign w:val="bottom"/>
          </w:tcPr>
          <w:p>
            <w:pPr>
              <w:spacing w:after="0"/>
              <w:rPr>
                <w:sz w:val="7"/>
                <w:szCs w:val="7"/>
                <w:color w:val="auto"/>
              </w:rPr>
            </w:pPr>
          </w:p>
        </w:tc>
      </w:tr>
      <w:tr>
        <w:trPr>
          <w:trHeight w:val="206"/>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Land</w:t>
            </w:r>
          </w:p>
        </w:tc>
        <w:tc>
          <w:tcPr>
            <w:tcW w:w="820" w:type="dxa"/>
            <w:vAlign w:val="bottom"/>
            <w:shd w:val="clear" w:color="auto" w:fill="CCEEFF"/>
          </w:tcPr>
          <w:p>
            <w:pPr>
              <w:jc w:val="right"/>
              <w:ind w:right="646"/>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w:t>
            </w: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63"/>
              <w:spacing w:after="0"/>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9.7</w:t>
            </w:r>
          </w:p>
        </w:tc>
      </w:tr>
      <w:tr>
        <w:trPr>
          <w:trHeight w:val="203"/>
        </w:trPr>
        <w:tc>
          <w:tcPr>
            <w:tcW w:w="84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Buildings and improvements</w:t>
            </w:r>
          </w:p>
        </w:tc>
        <w:tc>
          <w:tcPr>
            <w:tcW w:w="8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274.9</w:t>
            </w: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258.7</w:t>
            </w:r>
          </w:p>
        </w:tc>
      </w:tr>
      <w:tr>
        <w:trPr>
          <w:trHeight w:val="209"/>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Furniture and equipment</w:t>
            </w:r>
          </w:p>
        </w:tc>
        <w:tc>
          <w:tcPr>
            <w:tcW w:w="8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33.1</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32.7</w:t>
            </w:r>
          </w:p>
        </w:tc>
      </w:tr>
      <w:tr>
        <w:trPr>
          <w:trHeight w:val="203"/>
        </w:trPr>
        <w:tc>
          <w:tcPr>
            <w:tcW w:w="84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Computer and software</w:t>
            </w:r>
          </w:p>
        </w:tc>
        <w:tc>
          <w:tcPr>
            <w:tcW w:w="8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130.1</w:t>
            </w: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120.0</w:t>
            </w:r>
          </w:p>
        </w:tc>
      </w:tr>
      <w:tr>
        <w:trPr>
          <w:trHeight w:val="209"/>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Medical equipment</w:t>
            </w:r>
          </w:p>
        </w:tc>
        <w:tc>
          <w:tcPr>
            <w:tcW w:w="8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366.9</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348.3</w:t>
            </w:r>
          </w:p>
        </w:tc>
      </w:tr>
      <w:tr>
        <w:trPr>
          <w:trHeight w:val="203"/>
        </w:trPr>
        <w:tc>
          <w:tcPr>
            <w:tcW w:w="84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Right-of-use finance lease assets</w:t>
            </w:r>
          </w:p>
        </w:tc>
        <w:tc>
          <w:tcPr>
            <w:tcW w:w="8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944.5</w:t>
            </w: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818.1</w:t>
            </w:r>
          </w:p>
        </w:tc>
      </w:tr>
      <w:tr>
        <w:trPr>
          <w:trHeight w:val="209"/>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Construction in progress</w:t>
            </w:r>
          </w:p>
        </w:tc>
        <w:tc>
          <w:tcPr>
            <w:tcW w:w="8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49.2</w:t>
            </w:r>
          </w:p>
        </w:tc>
        <w:tc>
          <w:tcPr>
            <w:tcW w:w="16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54.7</w:t>
            </w:r>
          </w:p>
        </w:tc>
      </w:tr>
      <w:tr>
        <w:trPr>
          <w:trHeight w:val="196"/>
        </w:trPr>
        <w:tc>
          <w:tcPr>
            <w:tcW w:w="840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Property and equipment, at cost</w:t>
            </w:r>
          </w:p>
        </w:tc>
        <w:tc>
          <w:tcPr>
            <w:tcW w:w="8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7"/>
              </w:rPr>
              <w:t>1,804.6</w:t>
            </w: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1,642.2</w:t>
            </w:r>
          </w:p>
        </w:tc>
      </w:tr>
      <w:tr>
        <w:trPr>
          <w:trHeight w:val="206"/>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Less: Accumulated depreciation</w:t>
            </w:r>
          </w:p>
        </w:tc>
        <w:tc>
          <w:tcPr>
            <w:tcW w:w="82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(651.2)</w:t>
            </w:r>
          </w:p>
        </w:tc>
        <w:tc>
          <w:tcPr>
            <w:tcW w:w="16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(553.9)</w:t>
            </w:r>
          </w:p>
        </w:tc>
      </w:tr>
      <w:tr>
        <w:trPr>
          <w:trHeight w:val="202"/>
        </w:trPr>
        <w:tc>
          <w:tcPr>
            <w:tcW w:w="840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Property and equipment, net</w:t>
            </w:r>
          </w:p>
        </w:tc>
        <w:tc>
          <w:tcPr>
            <w:tcW w:w="820" w:type="dxa"/>
            <w:vAlign w:val="bottom"/>
            <w:tcBorders>
              <w:bottom w:val="single" w:sz="8" w:color="auto"/>
            </w:tcBorders>
          </w:tcPr>
          <w:p>
            <w:pPr>
              <w:jc w:val="right"/>
              <w:ind w:right="646"/>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97"/>
              </w:rPr>
              <w:t>1,153.4</w:t>
            </w:r>
          </w:p>
        </w:tc>
        <w:tc>
          <w:tcPr>
            <w:tcW w:w="160" w:type="dxa"/>
            <w:vAlign w:val="bottom"/>
          </w:tcPr>
          <w:p>
            <w:pPr>
              <w:spacing w:after="0"/>
              <w:rPr>
                <w:sz w:val="17"/>
                <w:szCs w:val="17"/>
                <w:color w:val="auto"/>
              </w:rPr>
            </w:pPr>
          </w:p>
        </w:tc>
        <w:tc>
          <w:tcPr>
            <w:tcW w:w="42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1,088.3</w:t>
            </w:r>
          </w:p>
        </w:tc>
      </w:tr>
      <w:tr>
        <w:trPr>
          <w:trHeight w:val="20"/>
        </w:trPr>
        <w:tc>
          <w:tcPr>
            <w:tcW w:w="84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Depreciation expense was $170.2 million, $144.8 million and $112.8 million for the years ended December 31, 2025, 2024 and 2023, respectively.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w:t>
      </w:r>
      <w:r>
        <w:rPr>
          <w:rFonts w:ascii="Times New Roman" w:cs="Times New Roman" w:eastAsia="Times New Roman" w:hAnsi="Times New Roman"/>
          <w:sz w:val="15"/>
          <w:szCs w:val="15"/>
          <w:b w:val="1"/>
          <w:bCs w:val="1"/>
          <w:color w:val="auto"/>
        </w:rPr>
        <w:t>. Goodwill and Intangible Assets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Goodwill</w:t>
      </w:r>
    </w:p>
    <w:p>
      <w:pPr>
        <w:spacing w:after="0" w:line="12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Goodwill represents the fair value of the consideration provided in an acquisition over the fair value of net assets acquired and is not amortized.</w:t>
      </w:r>
    </w:p>
    <w:p>
      <w:pPr>
        <w:spacing w:after="0" w:line="111" w:lineRule="exact"/>
        <w:rPr>
          <w:sz w:val="20"/>
          <w:szCs w:val="20"/>
          <w:color w:val="auto"/>
        </w:rPr>
      </w:pPr>
    </w:p>
    <w:p>
      <w:pPr>
        <w:jc w:val="both"/>
        <w:ind w:firstLine="309"/>
        <w:spacing w:after="0" w:line="289" w:lineRule="auto"/>
        <w:rPr>
          <w:sz w:val="20"/>
          <w:szCs w:val="20"/>
          <w:color w:val="auto"/>
        </w:rPr>
      </w:pPr>
      <w:r>
        <w:rPr>
          <w:rFonts w:ascii="Times New Roman" w:cs="Times New Roman" w:eastAsia="Times New Roman" w:hAnsi="Times New Roman"/>
          <w:sz w:val="15"/>
          <w:szCs w:val="15"/>
          <w:color w:val="auto"/>
        </w:rPr>
        <w:t>The Company tests its goodwill for impairment in the fourth quarter of each year, or more frequently if certain indicators arise. The Company tests for goodwill impairment at the reporting unit level. During 2025, the Company identified two reporting units, American Group and National Group.</w:t>
      </w:r>
    </w:p>
    <w:p>
      <w:pPr>
        <w:spacing w:after="0" w:line="62" w:lineRule="exact"/>
        <w:rPr>
          <w:sz w:val="20"/>
          <w:szCs w:val="20"/>
          <w:color w:val="auto"/>
        </w:rPr>
      </w:pPr>
    </w:p>
    <w:p>
      <w:pPr>
        <w:jc w:val="both"/>
        <w:ind w:firstLine="309"/>
        <w:spacing w:after="0" w:line="289" w:lineRule="auto"/>
        <w:rPr>
          <w:sz w:val="20"/>
          <w:szCs w:val="20"/>
          <w:color w:val="auto"/>
        </w:rPr>
      </w:pPr>
      <w:r>
        <w:rPr>
          <w:rFonts w:ascii="Times New Roman" w:cs="Times New Roman" w:eastAsia="Times New Roman" w:hAnsi="Times New Roman"/>
          <w:sz w:val="15"/>
          <w:szCs w:val="15"/>
          <w:color w:val="auto"/>
        </w:rPr>
        <w:t>The Company compares the carrying value of the net assets of the reporting units to the estimated fair values. To determine the fair value of the reporting units, the Company obtained valuations at the reporting unit level prepared by third-party valuation specialists which typically utilizes a combination of the income and market approaches.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2"/>
          <w:szCs w:val="12"/>
          <w:b w:val="1"/>
          <w:bCs w:val="1"/>
          <w:u w:val="single" w:color="auto"/>
          <w:color w:val="0000FF"/>
        </w:rPr>
        <w:t>Table of Contents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SURGERY PARTNERS, INC.</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both"/>
        <w:ind w:firstLine="309"/>
        <w:spacing w:after="0" w:line="265" w:lineRule="auto"/>
        <w:rPr>
          <w:sz w:val="20"/>
          <w:szCs w:val="20"/>
          <w:color w:val="auto"/>
        </w:rPr>
      </w:pPr>
      <w:r>
        <w:rPr>
          <w:rFonts w:ascii="Times New Roman" w:cs="Times New Roman" w:eastAsia="Times New Roman" w:hAnsi="Times New Roman"/>
          <w:sz w:val="15"/>
          <w:szCs w:val="15"/>
          <w:color w:val="auto"/>
        </w:rPr>
        <w:t>Based on the Company's annual goodwill impairment assessment performed as of October 1, 2025, it was determined that the estimated fair values of the reporting units were substantially in excess of their carrying values. A detailed evaluation of potential impairment indicators was performed, which specifically considered changes in interest rates, inflation risk and market volatility. While the Company believes that all assumptions utilized in the testing were appropriate, they may not reflect actual outcomes that could occur. Future estimates of fair value could be adversely affected if the actual outcome of one or more of the Company's assumptions changes materially in the future, including a material decline in the Company’s stock price and the fair value of its long-term debt, lower than expected surgical case volumes, higher market interest rates or increased operating costs. Such changes impacting the calculation of fair value could result in a material impairment charge in the future.</w:t>
      </w:r>
    </w:p>
    <w:p>
      <w:pPr>
        <w:spacing w:after="0" w:line="6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In 2025, 2024 and 2023, there were no non-cash impairment charges.</w:t>
      </w:r>
    </w:p>
    <w:p>
      <w:pPr>
        <w:spacing w:after="0" w:line="1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A summary of the changes in the carrying amount of goodwill follows (in millions):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3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00" w:type="dxa"/>
            <w:vAlign w:val="bottom"/>
            <w:gridSpan w:val="3"/>
          </w:tcPr>
          <w:p>
            <w:pPr>
              <w:jc w:val="right"/>
              <w:ind w:right="2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20" w:type="dxa"/>
            <w:vAlign w:val="bottom"/>
          </w:tcPr>
          <w:p>
            <w:pPr>
              <w:spacing w:after="0"/>
              <w:rPr>
                <w:sz w:val="15"/>
                <w:szCs w:val="15"/>
                <w:color w:val="auto"/>
              </w:rPr>
            </w:pPr>
          </w:p>
        </w:tc>
      </w:tr>
      <w:tr>
        <w:trPr>
          <w:trHeight w:val="22"/>
        </w:trPr>
        <w:tc>
          <w:tcPr>
            <w:tcW w:w="83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81"/>
        </w:trPr>
        <w:tc>
          <w:tcPr>
            <w:tcW w:w="8380" w:type="dxa"/>
            <w:vAlign w:val="bottom"/>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6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89"/>
        </w:trPr>
        <w:tc>
          <w:tcPr>
            <w:tcW w:w="8380" w:type="dxa"/>
            <w:vAlign w:val="bottom"/>
          </w:tcPr>
          <w:p>
            <w:pPr>
              <w:spacing w:after="0"/>
              <w:rPr>
                <w:sz w:val="7"/>
                <w:szCs w:val="7"/>
                <w:color w:val="auto"/>
              </w:rPr>
            </w:pPr>
          </w:p>
        </w:tc>
        <w:tc>
          <w:tcPr>
            <w:tcW w:w="8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920" w:type="dxa"/>
            <w:vAlign w:val="bottom"/>
          </w:tcPr>
          <w:p>
            <w:pPr>
              <w:spacing w:after="0"/>
              <w:rPr>
                <w:sz w:val="7"/>
                <w:szCs w:val="7"/>
                <w:color w:val="auto"/>
              </w:rPr>
            </w:pPr>
          </w:p>
        </w:tc>
      </w:tr>
      <w:tr>
        <w:trPr>
          <w:trHeight w:val="206"/>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Balance at beginning of period</w:t>
            </w:r>
          </w:p>
        </w:tc>
        <w:tc>
          <w:tcPr>
            <w:tcW w:w="840" w:type="dxa"/>
            <w:vAlign w:val="bottom"/>
            <w:shd w:val="clear" w:color="auto" w:fill="CCEEFF"/>
          </w:tcPr>
          <w:p>
            <w:pPr>
              <w:jc w:val="right"/>
              <w:ind w:right="666"/>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5,068.0</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283"/>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4,326.0</w:t>
            </w:r>
          </w:p>
        </w:tc>
      </w:tr>
      <w:tr>
        <w:trPr>
          <w:trHeight w:val="203"/>
        </w:trPr>
        <w:tc>
          <w:tcPr>
            <w:tcW w:w="838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Acquisitions, including post acquisition adjustments</w:t>
            </w:r>
          </w:p>
        </w:tc>
        <w:tc>
          <w:tcPr>
            <w:tcW w:w="8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176.4</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757.2</w:t>
            </w:r>
          </w:p>
        </w:tc>
      </w:tr>
      <w:tr>
        <w:trPr>
          <w:trHeight w:val="206"/>
        </w:trPr>
        <w:tc>
          <w:tcPr>
            <w:tcW w:w="8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Disposals and deconsolidations</w:t>
            </w:r>
          </w:p>
        </w:tc>
        <w:tc>
          <w:tcPr>
            <w:tcW w:w="84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(49.8)</w:t>
            </w:r>
          </w:p>
        </w:tc>
        <w:tc>
          <w:tcPr>
            <w:tcW w:w="10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(15.2)</w:t>
            </w:r>
          </w:p>
        </w:tc>
      </w:tr>
      <w:tr>
        <w:trPr>
          <w:trHeight w:val="202"/>
        </w:trPr>
        <w:tc>
          <w:tcPr>
            <w:tcW w:w="83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Balance at end of period</w:t>
            </w:r>
          </w:p>
        </w:tc>
        <w:tc>
          <w:tcPr>
            <w:tcW w:w="840" w:type="dxa"/>
            <w:vAlign w:val="bottom"/>
            <w:tcBorders>
              <w:bottom w:val="single" w:sz="8" w:color="auto"/>
            </w:tcBorders>
          </w:tcPr>
          <w:p>
            <w:pPr>
              <w:jc w:val="right"/>
              <w:ind w:right="666"/>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5,194.6</w:t>
            </w:r>
          </w:p>
        </w:tc>
        <w:tc>
          <w:tcPr>
            <w:tcW w:w="100" w:type="dxa"/>
            <w:vAlign w:val="bottom"/>
          </w:tcPr>
          <w:p>
            <w:pPr>
              <w:spacing w:after="0"/>
              <w:rPr>
                <w:sz w:val="17"/>
                <w:szCs w:val="17"/>
                <w:color w:val="auto"/>
              </w:rPr>
            </w:pPr>
          </w:p>
        </w:tc>
        <w:tc>
          <w:tcPr>
            <w:tcW w:w="460" w:type="dxa"/>
            <w:vAlign w:val="bottom"/>
            <w:tcBorders>
              <w:bottom w:val="single" w:sz="8" w:color="auto"/>
            </w:tcBorders>
          </w:tcPr>
          <w:p>
            <w:pPr>
              <w:jc w:val="right"/>
              <w:ind w:right="283"/>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5,068.0</w:t>
            </w:r>
          </w:p>
        </w:tc>
      </w:tr>
      <w:tr>
        <w:trPr>
          <w:trHeight w:val="20"/>
        </w:trPr>
        <w:tc>
          <w:tcPr>
            <w:tcW w:w="83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16" w:lineRule="exact"/>
        <w:rPr>
          <w:sz w:val="20"/>
          <w:szCs w:val="20"/>
          <w:color w:val="auto"/>
        </w:rPr>
      </w:pPr>
    </w:p>
    <w:p>
      <w:pPr>
        <w:jc w:val="both"/>
        <w:ind w:firstLine="309"/>
        <w:spacing w:after="0" w:line="251" w:lineRule="auto"/>
        <w:rPr>
          <w:sz w:val="20"/>
          <w:szCs w:val="20"/>
          <w:color w:val="auto"/>
        </w:rPr>
      </w:pPr>
      <w:r>
        <w:rPr>
          <w:rFonts w:ascii="Times New Roman" w:cs="Times New Roman" w:eastAsia="Times New Roman" w:hAnsi="Times New Roman"/>
          <w:sz w:val="15"/>
          <w:szCs w:val="15"/>
          <w:color w:val="auto"/>
        </w:rPr>
        <w:t xml:space="preserve">A summary of the Company's acquisitions, disposals and deconsolidations for the years ended December 31, 2025 </w:t>
      </w:r>
      <w:r>
        <w:rPr>
          <w:rFonts w:ascii="Times New Roman" w:cs="Times New Roman" w:eastAsia="Times New Roman" w:hAnsi="Times New Roman"/>
          <w:sz w:val="17"/>
          <w:szCs w:val="17"/>
          <w:color w:val="auto"/>
        </w:rPr>
        <w:t>and</w:t>
      </w:r>
      <w:r>
        <w:rPr>
          <w:rFonts w:ascii="Times New Roman" w:cs="Times New Roman" w:eastAsia="Times New Roman" w:hAnsi="Times New Roman"/>
          <w:sz w:val="15"/>
          <w:szCs w:val="15"/>
          <w:color w:val="auto"/>
        </w:rPr>
        <w:t xml:space="preserve"> 2024 is included in Note 2. "Acquisitions and Dispositions."</w:t>
      </w: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Intangible Assets</w:t>
      </w:r>
    </w:p>
    <w:p>
      <w:pPr>
        <w:spacing w:after="0" w:line="115" w:lineRule="exact"/>
        <w:rPr>
          <w:sz w:val="20"/>
          <w:szCs w:val="20"/>
          <w:color w:val="auto"/>
        </w:rPr>
      </w:pPr>
    </w:p>
    <w:p>
      <w:pPr>
        <w:jc w:val="both"/>
        <w:ind w:firstLine="309"/>
        <w:spacing w:after="0" w:line="265" w:lineRule="auto"/>
        <w:rPr>
          <w:sz w:val="20"/>
          <w:szCs w:val="20"/>
          <w:color w:val="auto"/>
        </w:rPr>
      </w:pPr>
      <w:r>
        <w:rPr>
          <w:rFonts w:ascii="Times New Roman" w:cs="Times New Roman" w:eastAsia="Times New Roman" w:hAnsi="Times New Roman"/>
          <w:sz w:val="15"/>
          <w:szCs w:val="15"/>
          <w:color w:val="auto"/>
        </w:rPr>
        <w:t>The Company has indefinite-lived intangible assets related to the certificates of need held in jurisdictions where certain of its surgical facilities are located and Medicare licenses. The Company tests these intangible assets for impairment in the fourth quarter of each year, or more frequently if certain indicators arise. The Company also has finite-lived intangible assets related to physician guarantee agreements, non-compete agreements and management rights agreements. Physician guarantees are amortized into salaries and benefits costs in the consolidated statements of operations over the commitment period of the contract, generally two to four years. Non-compete agreements and management rights agreements are amortized into depreciation and amortization expense in the consolidated statements of operations over the service lives of the agreements, typically ranging from two to five years for non-compete agreements and 15 years for the management rights agreements.</w:t>
      </w:r>
    </w:p>
    <w:p>
      <w:pPr>
        <w:spacing w:after="0" w:line="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A summary of the components of intangible assets follows (in millions):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32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4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4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2"/>
        </w:trPr>
        <w:tc>
          <w:tcPr>
            <w:tcW w:w="4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jc w:val="right"/>
              <w:ind w:right="45"/>
              <w:spacing w:after="0" w:line="122" w:lineRule="exact"/>
              <w:rPr>
                <w:sz w:val="20"/>
                <w:szCs w:val="20"/>
                <w:color w:val="auto"/>
              </w:rPr>
            </w:pPr>
            <w:r>
              <w:rPr>
                <w:rFonts w:ascii="Times New Roman" w:cs="Times New Roman" w:eastAsia="Times New Roman" w:hAnsi="Times New Roman"/>
                <w:sz w:val="14"/>
                <w:szCs w:val="14"/>
                <w:b w:val="1"/>
                <w:bCs w:val="1"/>
                <w:color w:val="auto"/>
                <w:w w:val="98"/>
              </w:rPr>
              <w:t>Gross Carrying</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gridSpan w:val="2"/>
          </w:tcPr>
          <w:p>
            <w:pPr>
              <w:ind w:left="40"/>
              <w:spacing w:after="0" w:line="122"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60" w:type="dxa"/>
            <w:vAlign w:val="bottom"/>
          </w:tcPr>
          <w:p>
            <w:pPr>
              <w:spacing w:after="0"/>
              <w:rPr>
                <w:sz w:val="10"/>
                <w:szCs w:val="10"/>
                <w:color w:val="auto"/>
              </w:rPr>
            </w:pPr>
          </w:p>
        </w:tc>
        <w:tc>
          <w:tcPr>
            <w:tcW w:w="9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Net</w:t>
            </w:r>
          </w:p>
        </w:tc>
        <w:tc>
          <w:tcPr>
            <w:tcW w:w="100" w:type="dxa"/>
            <w:vAlign w:val="bottom"/>
          </w:tcPr>
          <w:p>
            <w:pPr>
              <w:spacing w:after="0"/>
              <w:rPr>
                <w:sz w:val="10"/>
                <w:szCs w:val="10"/>
                <w:color w:val="auto"/>
              </w:rPr>
            </w:pPr>
          </w:p>
        </w:tc>
        <w:tc>
          <w:tcPr>
            <w:tcW w:w="1040" w:type="dxa"/>
            <w:vAlign w:val="bottom"/>
          </w:tcPr>
          <w:p>
            <w:pPr>
              <w:jc w:val="right"/>
              <w:ind w:right="25"/>
              <w:spacing w:after="0" w:line="122" w:lineRule="exact"/>
              <w:rPr>
                <w:sz w:val="20"/>
                <w:szCs w:val="20"/>
                <w:color w:val="auto"/>
              </w:rPr>
            </w:pPr>
            <w:r>
              <w:rPr>
                <w:rFonts w:ascii="Times New Roman" w:cs="Times New Roman" w:eastAsia="Times New Roman" w:hAnsi="Times New Roman"/>
                <w:sz w:val="14"/>
                <w:szCs w:val="14"/>
                <w:b w:val="1"/>
                <w:bCs w:val="1"/>
                <w:color w:val="auto"/>
                <w:w w:val="98"/>
              </w:rPr>
              <w:t>Gross Carrying</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gridSpan w:val="2"/>
          </w:tcPr>
          <w:p>
            <w:pPr>
              <w:ind w:left="40"/>
              <w:spacing w:after="0" w:line="122"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60" w:type="dxa"/>
            <w:vAlign w:val="bottom"/>
          </w:tcPr>
          <w:p>
            <w:pPr>
              <w:spacing w:after="0"/>
              <w:rPr>
                <w:sz w:val="10"/>
                <w:szCs w:val="10"/>
                <w:color w:val="auto"/>
              </w:rPr>
            </w:pPr>
          </w:p>
        </w:tc>
        <w:tc>
          <w:tcPr>
            <w:tcW w:w="800" w:type="dxa"/>
            <w:vAlign w:val="bottom"/>
            <w:vMerge w:val="restart"/>
          </w:tcPr>
          <w:p>
            <w:pPr>
              <w:jc w:val="right"/>
              <w:ind w:right="344"/>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88"/>
        </w:trPr>
        <w:tc>
          <w:tcPr>
            <w:tcW w:w="4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ind w:right="26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6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ind w:right="24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6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89"/>
        </w:trPr>
        <w:tc>
          <w:tcPr>
            <w:tcW w:w="406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106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10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104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10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6"/>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Finite-lived intangible assets:</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Management rights agreements</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53.2</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(22.5)</w:t>
            </w:r>
          </w:p>
        </w:tc>
        <w:tc>
          <w:tcPr>
            <w:tcW w:w="100" w:type="dxa"/>
            <w:vAlign w:val="bottom"/>
          </w:tcPr>
          <w:p>
            <w:pPr>
              <w:spacing w:after="0"/>
              <w:rPr>
                <w:sz w:val="17"/>
                <w:szCs w:val="17"/>
                <w:color w:val="auto"/>
              </w:rPr>
            </w:pPr>
          </w:p>
        </w:tc>
        <w:tc>
          <w:tcPr>
            <w:tcW w:w="260" w:type="dxa"/>
            <w:vAlign w:val="bottom"/>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30.7</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50.3</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(18.7)</w:t>
            </w:r>
          </w:p>
        </w:tc>
        <w:tc>
          <w:tcPr>
            <w:tcW w:w="100" w:type="dxa"/>
            <w:vAlign w:val="bottom"/>
          </w:tcPr>
          <w:p>
            <w:pPr>
              <w:spacing w:after="0"/>
              <w:rPr>
                <w:sz w:val="17"/>
                <w:szCs w:val="17"/>
                <w:color w:val="auto"/>
              </w:rPr>
            </w:pPr>
          </w:p>
        </w:tc>
        <w:tc>
          <w:tcPr>
            <w:tcW w:w="260" w:type="dxa"/>
            <w:vAlign w:val="bottom"/>
          </w:tcPr>
          <w:p>
            <w:pPr>
              <w:jc w:val="right"/>
              <w:ind w:right="103"/>
              <w:spacing w:after="0"/>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31.6</w:t>
            </w:r>
          </w:p>
        </w:tc>
        <w:tc>
          <w:tcPr>
            <w:tcW w:w="0" w:type="dxa"/>
            <w:vAlign w:val="bottom"/>
          </w:tcPr>
          <w:p>
            <w:pPr>
              <w:spacing w:after="0"/>
              <w:rPr>
                <w:sz w:val="1"/>
                <w:szCs w:val="1"/>
                <w:color w:val="auto"/>
              </w:rPr>
            </w:pPr>
          </w:p>
        </w:tc>
      </w:tr>
      <w:tr>
        <w:trPr>
          <w:trHeight w:val="209"/>
        </w:trPr>
        <w:tc>
          <w:tcPr>
            <w:tcW w:w="4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Other</w:t>
            </w:r>
          </w:p>
        </w:tc>
        <w:tc>
          <w:tcPr>
            <w:tcW w:w="1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30.2</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(25.0)</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30.1</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(22.7)</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7.4</w:t>
            </w:r>
          </w:p>
        </w:tc>
        <w:tc>
          <w:tcPr>
            <w:tcW w:w="0" w:type="dxa"/>
            <w:vAlign w:val="bottom"/>
          </w:tcPr>
          <w:p>
            <w:pPr>
              <w:spacing w:after="0"/>
              <w:rPr>
                <w:sz w:val="1"/>
                <w:szCs w:val="1"/>
                <w:color w:val="auto"/>
              </w:rPr>
            </w:pPr>
          </w:p>
        </w:tc>
      </w:tr>
      <w:tr>
        <w:trPr>
          <w:trHeight w:val="196"/>
        </w:trPr>
        <w:tc>
          <w:tcPr>
            <w:tcW w:w="40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Total finite-lived intangible assets</w:t>
            </w:r>
          </w:p>
        </w:tc>
        <w:tc>
          <w:tcPr>
            <w:tcW w:w="100" w:type="dxa"/>
            <w:vAlign w:val="bottom"/>
          </w:tcPr>
          <w:p>
            <w:pPr>
              <w:spacing w:after="0"/>
              <w:rPr>
                <w:sz w:val="17"/>
                <w:szCs w:val="17"/>
                <w:color w:val="auto"/>
              </w:rPr>
            </w:pPr>
          </w:p>
        </w:tc>
        <w:tc>
          <w:tcPr>
            <w:tcW w:w="106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83.4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80.4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39.0</w:t>
            </w:r>
          </w:p>
        </w:tc>
        <w:tc>
          <w:tcPr>
            <w:tcW w:w="0" w:type="dxa"/>
            <w:vAlign w:val="bottom"/>
          </w:tcPr>
          <w:p>
            <w:pPr>
              <w:spacing w:after="0"/>
              <w:rPr>
                <w:sz w:val="1"/>
                <w:szCs w:val="1"/>
                <w:color w:val="auto"/>
              </w:rPr>
            </w:pPr>
          </w:p>
        </w:tc>
      </w:tr>
      <w:tr>
        <w:trPr>
          <w:trHeight w:val="206"/>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Indefinite-lived intangible assets</w:t>
            </w:r>
          </w:p>
        </w:tc>
        <w:tc>
          <w:tcPr>
            <w:tcW w:w="1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5.1</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6.7</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6.7</w:t>
            </w:r>
          </w:p>
        </w:tc>
        <w:tc>
          <w:tcPr>
            <w:tcW w:w="0" w:type="dxa"/>
            <w:vAlign w:val="bottom"/>
          </w:tcPr>
          <w:p>
            <w:pPr>
              <w:spacing w:after="0"/>
              <w:rPr>
                <w:sz w:val="1"/>
                <w:szCs w:val="1"/>
                <w:color w:val="auto"/>
              </w:rPr>
            </w:pPr>
          </w:p>
        </w:tc>
      </w:tr>
      <w:tr>
        <w:trPr>
          <w:trHeight w:val="202"/>
        </w:trPr>
        <w:tc>
          <w:tcPr>
            <w:tcW w:w="40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Total intangible assets</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88.5</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(47.5)</w:t>
            </w:r>
          </w:p>
        </w:tc>
        <w:tc>
          <w:tcPr>
            <w:tcW w:w="100" w:type="dxa"/>
            <w:vAlign w:val="bottom"/>
          </w:tcPr>
          <w:p>
            <w:pPr>
              <w:spacing w:after="0"/>
              <w:rPr>
                <w:sz w:val="17"/>
                <w:szCs w:val="17"/>
                <w:color w:val="auto"/>
              </w:rPr>
            </w:pPr>
          </w:p>
        </w:tc>
        <w:tc>
          <w:tcPr>
            <w:tcW w:w="260" w:type="dxa"/>
            <w:vAlign w:val="bottom"/>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41.0</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87.1</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(41.4)</w:t>
            </w:r>
          </w:p>
        </w:tc>
        <w:tc>
          <w:tcPr>
            <w:tcW w:w="100" w:type="dxa"/>
            <w:vAlign w:val="bottom"/>
          </w:tcPr>
          <w:p>
            <w:pPr>
              <w:spacing w:after="0"/>
              <w:rPr>
                <w:sz w:val="17"/>
                <w:szCs w:val="17"/>
                <w:color w:val="auto"/>
              </w:rPr>
            </w:pPr>
          </w:p>
        </w:tc>
        <w:tc>
          <w:tcPr>
            <w:tcW w:w="260" w:type="dxa"/>
            <w:vAlign w:val="bottom"/>
          </w:tcPr>
          <w:p>
            <w:pPr>
              <w:jc w:val="right"/>
              <w:ind w:right="103"/>
              <w:spacing w:after="0"/>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45.7</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Amortization expense for intangible assets was $6.1 million, $8.7 million and $7.6 million for of the years ended December 31, 2025,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2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2"/>
          <w:szCs w:val="12"/>
          <w:b w:val="1"/>
          <w:bCs w:val="1"/>
          <w:u w:val="single" w:color="auto"/>
          <w:color w:val="0000FF"/>
        </w:rPr>
        <w:t>Table of Contents</w:t>
      </w:r>
    </w:p>
    <w:p>
      <w:pPr>
        <w:spacing w:after="0" w:line="17" w:lineRule="exact"/>
        <w:rPr>
          <w:sz w:val="20"/>
          <w:szCs w:val="20"/>
          <w:color w:val="auto"/>
        </w:rPr>
      </w:pPr>
    </w:p>
    <w:p>
      <w:pPr>
        <w:jc w:val="center"/>
        <w:ind w:left="3040"/>
        <w:spacing w:after="0"/>
        <w:rPr>
          <w:sz w:val="20"/>
          <w:szCs w:val="20"/>
          <w:color w:val="auto"/>
        </w:rPr>
      </w:pPr>
      <w:r>
        <w:rPr>
          <w:rFonts w:ascii="Times New Roman" w:cs="Times New Roman" w:eastAsia="Times New Roman" w:hAnsi="Times New Roman"/>
          <w:sz w:val="14"/>
          <w:szCs w:val="14"/>
          <w:b w:val="1"/>
          <w:bCs w:val="1"/>
          <w:color w:val="auto"/>
        </w:rPr>
        <w:t>SURGERY PARTNERS, INC.</w:t>
      </w:r>
    </w:p>
    <w:p>
      <w:pPr>
        <w:spacing w:after="0" w:line="40" w:lineRule="exact"/>
        <w:rPr>
          <w:sz w:val="20"/>
          <w:szCs w:val="20"/>
          <w:color w:val="auto"/>
        </w:rPr>
      </w:pPr>
    </w:p>
    <w:p>
      <w:pPr>
        <w:jc w:val="center"/>
        <w:ind w:left="304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Total estimated amortization expense for the next five years and thereafter related to intangible assets follows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151765</wp:posOffset>
            </wp:positionV>
            <wp:extent cx="7138670" cy="1308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22">
                      <a:extLst>
                        <a:ext uri="{28A0092B-C50C-407E-A947-70E740481C1C}"/>
                      </a:extLst>
                    </a:blip>
                    <a:srcRect/>
                    <a:stretch>
                      <a:fillRect/>
                    </a:stretch>
                  </pic:blipFill>
                  <pic:spPr bwMode="auto">
                    <a:xfrm>
                      <a:off x="0" y="0"/>
                      <a:ext cx="7138670" cy="130810"/>
                    </a:xfrm>
                    <a:prstGeom prst="rect">
                      <a:avLst/>
                    </a:prstGeom>
                    <a:noFill/>
                  </pic:spPr>
                </pic:pic>
              </a:graphicData>
            </a:graphic>
          </wp:anchor>
        </w:drawing>
      </w:r>
    </w:p>
    <w:p>
      <w:pPr>
        <w:spacing w:after="0" w:line="2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2026</w:t>
      </w:r>
    </w:p>
    <w:p>
      <w:pPr>
        <w:spacing w:after="0" w:line="3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20955</wp:posOffset>
            </wp:positionV>
            <wp:extent cx="7138670" cy="1308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23">
                      <a:extLst>
                        <a:ext uri="{28A0092B-C50C-407E-A947-70E740481C1C}"/>
                      </a:extLst>
                    </a:blip>
                    <a:srcRect/>
                    <a:stretch>
                      <a:fillRect/>
                    </a:stretch>
                  </pic:blipFill>
                  <pic:spPr bwMode="auto">
                    <a:xfrm>
                      <a:off x="0" y="0"/>
                      <a:ext cx="7138670" cy="130810"/>
                    </a:xfrm>
                    <a:prstGeom prst="rect">
                      <a:avLst/>
                    </a:prstGeom>
                    <a:noFill/>
                  </pic:spPr>
                </pic:pic>
              </a:graphicData>
            </a:graphic>
          </wp:anchor>
        </w:drawing>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2028</w:t>
      </w:r>
    </w:p>
    <w:p>
      <w:pPr>
        <w:spacing w:after="0" w:line="3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2029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20955</wp:posOffset>
            </wp:positionV>
            <wp:extent cx="7138670" cy="1308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24">
                      <a:extLst>
                        <a:ext uri="{28A0092B-C50C-407E-A947-70E740481C1C}"/>
                      </a:extLst>
                    </a:blip>
                    <a:srcRect/>
                    <a:stretch>
                      <a:fillRect/>
                    </a:stretch>
                  </pic:blipFill>
                  <pic:spPr bwMode="auto">
                    <a:xfrm>
                      <a:off x="0" y="0"/>
                      <a:ext cx="7138670" cy="130810"/>
                    </a:xfrm>
                    <a:prstGeom prst="rect">
                      <a:avLst/>
                    </a:prstGeom>
                    <a:noFill/>
                  </pic:spPr>
                </pic:pic>
              </a:graphicData>
            </a:graphic>
          </wp:anchor>
        </w:drawing>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2030</w:t>
      </w:r>
    </w:p>
    <w:p>
      <w:pPr>
        <w:spacing w:after="0" w:line="3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20955</wp:posOffset>
            </wp:positionV>
            <wp:extent cx="7138670" cy="15557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25">
                      <a:extLst>
                        <a:ext uri="{28A0092B-C50C-407E-A947-70E740481C1C}"/>
                      </a:extLst>
                    </a:blip>
                    <a:srcRect/>
                    <a:stretch>
                      <a:fillRect/>
                    </a:stretch>
                  </pic:blipFill>
                  <pic:spPr bwMode="auto">
                    <a:xfrm>
                      <a:off x="0" y="0"/>
                      <a:ext cx="7138670" cy="155575"/>
                    </a:xfrm>
                    <a:prstGeom prst="rect">
                      <a:avLst/>
                    </a:prstGeom>
                    <a:noFill/>
                  </pic:spPr>
                </pic:pic>
              </a:graphicData>
            </a:graphic>
          </wp:anchor>
        </w:drawing>
      </w:r>
    </w:p>
    <w:p>
      <w:pPr>
        <w:spacing w:after="0" w:line="5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5"/>
          <w:szCs w:val="15"/>
          <w:color w:val="auto"/>
        </w:rPr>
        <w:t>Total</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5</w:t>
      </w:r>
      <w:r>
        <w:rPr>
          <w:rFonts w:ascii="Times New Roman" w:cs="Times New Roman" w:eastAsia="Times New Roman" w:hAnsi="Times New Roman"/>
          <w:sz w:val="15"/>
          <w:szCs w:val="15"/>
          <w:b w:val="1"/>
          <w:bCs w:val="1"/>
          <w:color w:val="auto"/>
        </w:rPr>
        <w:t>. Long-Term Debt</w:t>
      </w:r>
    </w:p>
    <w:p>
      <w:pPr>
        <w:spacing w:after="0" w:line="1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A summary of long-term debt follows (in millions):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2040" w:hanging="1252"/>
        <w:spacing w:after="0"/>
        <w:tabs>
          <w:tab w:leader="none" w:pos="204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6.0</w:t>
      </w:r>
    </w:p>
    <w:p>
      <w:pPr>
        <w:spacing w:after="0" w:line="33" w:lineRule="exact"/>
        <w:rPr>
          <w:rFonts w:ascii="Times New Roman" w:cs="Times New Roman" w:eastAsia="Times New Roman" w:hAnsi="Times New Roman"/>
          <w:sz w:val="15"/>
          <w:szCs w:val="15"/>
          <w:color w:val="auto"/>
        </w:rPr>
      </w:pPr>
    </w:p>
    <w:p>
      <w:pPr>
        <w:ind w:left="204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5.4</w:t>
      </w:r>
    </w:p>
    <w:p>
      <w:pPr>
        <w:spacing w:after="0" w:line="33" w:lineRule="exact"/>
        <w:rPr>
          <w:rFonts w:ascii="Times New Roman" w:cs="Times New Roman" w:eastAsia="Times New Roman" w:hAnsi="Times New Roman"/>
          <w:sz w:val="15"/>
          <w:szCs w:val="15"/>
          <w:color w:val="auto"/>
        </w:rPr>
      </w:pPr>
    </w:p>
    <w:p>
      <w:pPr>
        <w:ind w:left="204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4.6</w:t>
      </w:r>
    </w:p>
    <w:p>
      <w:pPr>
        <w:spacing w:after="0" w:line="33" w:lineRule="exact"/>
        <w:rPr>
          <w:rFonts w:ascii="Times New Roman" w:cs="Times New Roman" w:eastAsia="Times New Roman" w:hAnsi="Times New Roman"/>
          <w:sz w:val="15"/>
          <w:szCs w:val="15"/>
          <w:color w:val="auto"/>
        </w:rPr>
      </w:pPr>
    </w:p>
    <w:p>
      <w:pPr>
        <w:ind w:left="204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3.8</w:t>
      </w:r>
    </w:p>
    <w:p>
      <w:pPr>
        <w:spacing w:after="0" w:line="33" w:lineRule="exact"/>
        <w:rPr>
          <w:rFonts w:ascii="Times New Roman" w:cs="Times New Roman" w:eastAsia="Times New Roman" w:hAnsi="Times New Roman"/>
          <w:sz w:val="15"/>
          <w:szCs w:val="15"/>
          <w:color w:val="auto"/>
        </w:rPr>
      </w:pPr>
    </w:p>
    <w:p>
      <w:pPr>
        <w:ind w:left="204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3.1</w:t>
      </w:r>
    </w:p>
    <w:p>
      <w:pPr>
        <w:spacing w:after="0" w:line="34"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5"/>
          <w:szCs w:val="15"/>
          <w:color w:val="auto"/>
        </w:rPr>
        <w:t>13.0</w:t>
      </w:r>
    </w:p>
    <w:p>
      <w:pPr>
        <w:spacing w:after="0" w:line="47" w:lineRule="exact"/>
        <w:rPr>
          <w:sz w:val="20"/>
          <w:szCs w:val="20"/>
          <w:color w:val="auto"/>
        </w:rPr>
      </w:pPr>
    </w:p>
    <w:p>
      <w:pPr>
        <w:ind w:left="1960" w:hanging="1172"/>
        <w:spacing w:after="0"/>
        <w:tabs>
          <w:tab w:leader="none" w:pos="1960" w:val="left"/>
        </w:tabs>
        <w:numPr>
          <w:ilvl w:val="0"/>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35.9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45720</wp:posOffset>
            </wp:positionV>
            <wp:extent cx="97409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26">
                      <a:extLst>
                        <a:ext uri="{28A0092B-C50C-407E-A947-70E740481C1C}"/>
                      </a:extLst>
                    </a:blip>
                    <a:srcRect/>
                    <a:stretch>
                      <a:fillRect/>
                    </a:stretch>
                  </pic:blipFill>
                  <pic:spPr bwMode="auto">
                    <a:xfrm>
                      <a:off x="0" y="0"/>
                      <a:ext cx="9740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-344805</wp:posOffset>
            </wp:positionH>
            <wp:positionV relativeFrom="paragraph">
              <wp:posOffset>27940</wp:posOffset>
            </wp:positionV>
            <wp:extent cx="180911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27">
                      <a:extLst>
                        <a:ext uri="{28A0092B-C50C-407E-A947-70E740481C1C}"/>
                      </a:extLst>
                    </a:blip>
                    <a:srcRect/>
                    <a:stretch>
                      <a:fillRect/>
                    </a:stretch>
                  </pic:blipFill>
                  <pic:spPr bwMode="auto">
                    <a:xfrm>
                      <a:off x="0" y="0"/>
                      <a:ext cx="1809115" cy="8255"/>
                    </a:xfrm>
                    <a:prstGeom prst="rect">
                      <a:avLst/>
                    </a:prstGeom>
                    <a:noFill/>
                  </pic:spPr>
                </pic:pic>
              </a:graphicData>
            </a:graphic>
          </wp:anchor>
        </w:drawing>
      </w:r>
    </w:p>
    <w:p>
      <w:pPr>
        <w:spacing w:after="0" w:line="25" w:lineRule="exact"/>
        <w:rPr>
          <w:sz w:val="20"/>
          <w:szCs w:val="20"/>
          <w:color w:val="auto"/>
        </w:rPr>
      </w:pPr>
    </w:p>
    <w:p>
      <w:pPr>
        <w:spacing w:after="0"/>
        <w:tabs>
          <w:tab w:leader="none" w:pos="1480" w:val="left"/>
        </w:tabs>
        <w:rPr>
          <w:sz w:val="20"/>
          <w:szCs w:val="20"/>
          <w:color w:val="auto"/>
        </w:rPr>
      </w:pPr>
      <w:r>
        <w:rPr>
          <w:rFonts w:ascii="Times New Roman" w:cs="Times New Roman" w:eastAsia="Times New Roman" w:hAnsi="Times New Roman"/>
          <w:sz w:val="14"/>
          <w:szCs w:val="14"/>
          <w:b w:val="1"/>
          <w:bCs w:val="1"/>
          <w:color w:val="auto"/>
        </w:rPr>
        <w:t>2025</w:t>
      </w:r>
      <w:r>
        <w:rPr>
          <w:sz w:val="20"/>
          <w:szCs w:val="20"/>
          <w:color w:val="auto"/>
        </w:rPr>
        <w:tab/>
      </w:r>
      <w:r>
        <w:rPr>
          <w:rFonts w:ascii="Times New Roman" w:cs="Times New Roman" w:eastAsia="Times New Roman" w:hAnsi="Times New Roman"/>
          <w:sz w:val="14"/>
          <w:szCs w:val="14"/>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-344805</wp:posOffset>
            </wp:positionH>
            <wp:positionV relativeFrom="paragraph">
              <wp:posOffset>27940</wp:posOffset>
            </wp:positionV>
            <wp:extent cx="180911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28">
                      <a:extLst>
                        <a:ext uri="{28A0092B-C50C-407E-A947-70E740481C1C}"/>
                      </a:extLst>
                    </a:blip>
                    <a:srcRect/>
                    <a:stretch>
                      <a:fillRect/>
                    </a:stretch>
                  </pic:blipFill>
                  <pic:spPr bwMode="auto">
                    <a:xfrm>
                      <a:off x="0" y="0"/>
                      <a:ext cx="1809115" cy="8255"/>
                    </a:xfrm>
                    <a:prstGeom prst="rect">
                      <a:avLst/>
                    </a:prstGeom>
                    <a:noFill/>
                  </pic:spPr>
                </pic:pic>
              </a:graphicData>
            </a:graphic>
          </wp:anchor>
        </w:drawing>
      </w:r>
    </w:p>
    <w:p>
      <w:pPr>
        <w:spacing w:after="0" w:line="123" w:lineRule="exact"/>
        <w:rPr>
          <w:sz w:val="20"/>
          <w:szCs w:val="20"/>
          <w:color w:val="auto"/>
        </w:rPr>
      </w:pPr>
    </w:p>
    <w:p>
      <w:pPr>
        <w:sectPr>
          <w:pgSz w:w="11900" w:h="16838" w:orient="portrait"/>
          <w:cols w:equalWidth="0" w:num="2">
            <w:col w:w="8220" w:space="720"/>
            <w:col w:w="2300"/>
          </w:cols>
          <w:pgMar w:left="320" w:top="120" w:right="339" w:bottom="1440" w:gutter="0" w:footer="0" w:header="0"/>
        </w:sectPr>
      </w:pPr>
    </w:p>
    <w:tbl>
      <w:tblPr>
        <w:tblLayout w:type="fixed"/>
        <w:tblInd w:w="0" w:type="dxa"/>
        <w:tblCellMar>
          <w:top w:w="0" w:type="dxa"/>
          <w:left w:w="0" w:type="dxa"/>
          <w:bottom w:w="0" w:type="dxa"/>
          <w:right w:w="0" w:type="dxa"/>
        </w:tblCellMar>
      </w:tblPr>
      <w:tr>
        <w:trPr>
          <w:trHeight w:val="230"/>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 xml:space="preserve">Senior secured term loan </w:t>
            </w:r>
            <w:r>
              <w:rPr>
                <w:rFonts w:ascii="Times New Roman" w:cs="Times New Roman" w:eastAsia="Times New Roman" w:hAnsi="Times New Roman"/>
                <w:sz w:val="20"/>
                <w:szCs w:val="20"/>
                <w:color w:val="auto"/>
                <w:vertAlign w:val="superscript"/>
              </w:rPr>
              <w:t>(1)</w:t>
            </w:r>
          </w:p>
        </w:tc>
        <w:tc>
          <w:tcPr>
            <w:tcW w:w="460" w:type="dxa"/>
            <w:vAlign w:val="bottom"/>
            <w:shd w:val="clear" w:color="auto" w:fill="CCEEFF"/>
          </w:tcPr>
          <w:p>
            <w:pPr>
              <w:jc w:val="right"/>
              <w:ind w:right="283"/>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1,374.4</w:t>
            </w: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303"/>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1,388.1</w:t>
            </w:r>
          </w:p>
        </w:tc>
      </w:tr>
      <w:tr>
        <w:trPr>
          <w:trHeight w:val="203"/>
        </w:trPr>
        <w:tc>
          <w:tcPr>
            <w:tcW w:w="84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Senior secured revolving credit facility</w:t>
            </w:r>
          </w:p>
        </w:tc>
        <w:tc>
          <w:tcPr>
            <w:tcW w:w="46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192.0</w:t>
            </w:r>
          </w:p>
        </w:tc>
      </w:tr>
      <w:tr>
        <w:trPr>
          <w:trHeight w:val="209"/>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7.250% senior unsecured notes due 2032</w:t>
            </w: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1,225.0</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800.0</w:t>
            </w:r>
          </w:p>
        </w:tc>
      </w:tr>
      <w:tr>
        <w:trPr>
          <w:trHeight w:val="203"/>
        </w:trPr>
        <w:tc>
          <w:tcPr>
            <w:tcW w:w="84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Notes payable and other secured loans</w:t>
            </w:r>
          </w:p>
        </w:tc>
        <w:tc>
          <w:tcPr>
            <w:tcW w:w="4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199.3</w:t>
            </w: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224.4</w:t>
            </w:r>
          </w:p>
        </w:tc>
      </w:tr>
      <w:tr>
        <w:trPr>
          <w:trHeight w:val="209"/>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Finance lease obligations</w:t>
            </w: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935.5</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798.7</w:t>
            </w:r>
          </w:p>
        </w:tc>
      </w:tr>
      <w:tr>
        <w:trPr>
          <w:trHeight w:val="203"/>
        </w:trPr>
        <w:tc>
          <w:tcPr>
            <w:tcW w:w="8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Less: unamortized debt issuance costs and discounts</w:t>
            </w:r>
          </w:p>
        </w:tc>
        <w:tc>
          <w:tcPr>
            <w:tcW w:w="4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(32.0)</w:t>
            </w:r>
          </w:p>
        </w:tc>
        <w:tc>
          <w:tcPr>
            <w:tcW w:w="16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(32.9)</w:t>
            </w:r>
          </w:p>
        </w:tc>
      </w:tr>
      <w:tr>
        <w:trPr>
          <w:trHeight w:val="202"/>
        </w:trPr>
        <w:tc>
          <w:tcPr>
            <w:tcW w:w="8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Total debt</w:t>
            </w: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3,702.2</w:t>
            </w: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3,370.3</w:t>
            </w:r>
          </w:p>
        </w:tc>
      </w:tr>
      <w:tr>
        <w:trPr>
          <w:trHeight w:val="203"/>
        </w:trPr>
        <w:tc>
          <w:tcPr>
            <w:tcW w:w="8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Less: current maturities</w:t>
            </w:r>
          </w:p>
        </w:tc>
        <w:tc>
          <w:tcPr>
            <w:tcW w:w="4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99.3</w:t>
            </w:r>
          </w:p>
        </w:tc>
        <w:tc>
          <w:tcPr>
            <w:tcW w:w="16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101.4</w:t>
            </w:r>
          </w:p>
        </w:tc>
      </w:tr>
      <w:tr>
        <w:trPr>
          <w:trHeight w:val="227"/>
        </w:trPr>
        <w:tc>
          <w:tcPr>
            <w:tcW w:w="84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Total long-term debt</w:t>
            </w:r>
          </w:p>
        </w:tc>
        <w:tc>
          <w:tcPr>
            <w:tcW w:w="460" w:type="dxa"/>
            <w:vAlign w:val="bottom"/>
            <w:tcBorders>
              <w:bottom w:val="single" w:sz="8" w:color="auto"/>
            </w:tcBorders>
            <w:shd w:val="clear" w:color="auto" w:fill="CCEEFF"/>
          </w:tcPr>
          <w:p>
            <w:pPr>
              <w:jc w:val="right"/>
              <w:ind w:right="283"/>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3,602.9</w:t>
            </w:r>
          </w:p>
        </w:tc>
        <w:tc>
          <w:tcPr>
            <w:tcW w:w="16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303"/>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3,268.9</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  Includes unamortized fair value discount of $1.2 million and $1.4 million as of December 31, 2025 and 2024, respectively.</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Credit Facilities</w:t>
      </w:r>
    </w:p>
    <w:p>
      <w:pPr>
        <w:spacing w:after="0" w:line="115" w:lineRule="exact"/>
        <w:rPr>
          <w:sz w:val="20"/>
          <w:szCs w:val="20"/>
          <w:color w:val="auto"/>
        </w:rPr>
      </w:pPr>
    </w:p>
    <w:p>
      <w:pPr>
        <w:jc w:val="both"/>
        <w:ind w:firstLine="309"/>
        <w:spacing w:after="0" w:line="279" w:lineRule="auto"/>
        <w:rPr>
          <w:sz w:val="20"/>
          <w:szCs w:val="20"/>
          <w:color w:val="auto"/>
        </w:rPr>
      </w:pPr>
      <w:r>
        <w:rPr>
          <w:rFonts w:ascii="Times New Roman" w:cs="Times New Roman" w:eastAsia="Times New Roman" w:hAnsi="Times New Roman"/>
          <w:sz w:val="15"/>
          <w:szCs w:val="15"/>
          <w:color w:val="auto"/>
        </w:rPr>
        <w:t>On December 19, 2023, the Company entered into a credit agreement (the “Credit Agreement”), which provided for a $1.4 billion senior secured term loan (the "Term Loan") and a $703.8 million revolving credit facility (the "Revolver" and, together with the Term Loan, the "Credit Facilities"). Subject to certain conditions and requirements set forth in the Credit Agreement, the Company may request one or more additional incremental term loan facilities or one or more increases in the commitments under the Revolver.</w:t>
      </w:r>
    </w:p>
    <w:p>
      <w:pPr>
        <w:spacing w:after="0" w:line="56" w:lineRule="exact"/>
        <w:rPr>
          <w:sz w:val="20"/>
          <w:szCs w:val="20"/>
          <w:color w:val="auto"/>
        </w:rPr>
      </w:pPr>
    </w:p>
    <w:p>
      <w:pPr>
        <w:jc w:val="both"/>
        <w:ind w:firstLine="309"/>
        <w:spacing w:after="0" w:line="269" w:lineRule="auto"/>
        <w:rPr>
          <w:sz w:val="20"/>
          <w:szCs w:val="20"/>
          <w:color w:val="auto"/>
        </w:rPr>
      </w:pPr>
      <w:r>
        <w:rPr>
          <w:rFonts w:ascii="Times New Roman" w:cs="Times New Roman" w:eastAsia="Times New Roman" w:hAnsi="Times New Roman"/>
          <w:sz w:val="15"/>
          <w:szCs w:val="15"/>
          <w:color w:val="auto"/>
        </w:rPr>
        <w:t>The Term Loan matures on December 19, 2030. Prior to the First Amendment and Second Amendment, as defined below, the Term Loan bore interest at a rate per annum equal to (x) the forward-looking term rate based on Secured Overnight Financing Rate (“Term SOFR”) plus 3.50% per annum or (y) an alternate base rate (which will be the highest of (i) the prime rate plus, (ii) 0.50% per annum above the federal funds effective rate and (iii) Term SOFR plus 1.00% per annum, subject to a 1.00% floor) (the “Base Rate”) plus 2.50% per annum.</w:t>
      </w:r>
    </w:p>
    <w:p>
      <w:pPr>
        <w:spacing w:after="0" w:line="78" w:lineRule="exact"/>
        <w:rPr>
          <w:sz w:val="20"/>
          <w:szCs w:val="20"/>
          <w:color w:val="auto"/>
        </w:rPr>
      </w:pPr>
    </w:p>
    <w:p>
      <w:pPr>
        <w:jc w:val="both"/>
        <w:ind w:firstLine="309"/>
        <w:spacing w:after="0" w:line="269" w:lineRule="auto"/>
        <w:rPr>
          <w:sz w:val="20"/>
          <w:szCs w:val="20"/>
          <w:color w:val="auto"/>
        </w:rPr>
      </w:pPr>
      <w:r>
        <w:rPr>
          <w:rFonts w:ascii="Times New Roman" w:cs="Times New Roman" w:eastAsia="Times New Roman" w:hAnsi="Times New Roman"/>
          <w:sz w:val="15"/>
          <w:szCs w:val="15"/>
          <w:color w:val="auto"/>
        </w:rPr>
        <w:t>The Term Loan amortizes in equal quarterly installments of 0.25% of the aggregate original principal amount outstanding on the Term Loan, which commenced on the last business day of the fiscal quarter ending June 30, 2024. Subject to the right of reinvestment and certain other exceptions, the Term Loan requires mandatory prepayments upon the occurrence of certain events as defined in the Credit Agreement. Term Loan is also subject to an annual mandatory prepayment in an amount equal to a percentage of excess cash flow as determined based on the first lien net leverage ratio as of the last day of the applicable fiscal year.</w:t>
      </w:r>
    </w:p>
    <w:p>
      <w:pPr>
        <w:spacing w:after="0" w:line="65" w:lineRule="exact"/>
        <w:rPr>
          <w:sz w:val="20"/>
          <w:szCs w:val="20"/>
          <w:color w:val="auto"/>
        </w:rPr>
      </w:pPr>
    </w:p>
    <w:p>
      <w:pPr>
        <w:jc w:val="both"/>
        <w:ind w:firstLine="309"/>
        <w:spacing w:after="0" w:line="269" w:lineRule="auto"/>
        <w:rPr>
          <w:sz w:val="20"/>
          <w:szCs w:val="20"/>
          <w:color w:val="auto"/>
        </w:rPr>
      </w:pPr>
      <w:r>
        <w:rPr>
          <w:rFonts w:ascii="Times New Roman" w:cs="Times New Roman" w:eastAsia="Times New Roman" w:hAnsi="Times New Roman"/>
          <w:sz w:val="15"/>
          <w:szCs w:val="15"/>
          <w:color w:val="auto"/>
        </w:rPr>
        <w:t>The Revolver matures on December 19, 2028. Interest on any loans drawn under the Revolver shall bear interest at a rate per annum equal to (x) Term SOFR plus 3.25% per annum or (y) the Base Rate plus 2.25% per annum. In addition, the Company is required to pay a commitment fee ranging from 0.50% to 0.25% per annum, depending on the Company’s first lien net leverage ratio, in respect of unused commitments under the Revolver. The Revolver may be utilized for working capital, capital expenditures and general corporate purposes. As of December 31, 2025, the Company's availability on the Revolver was $692.8 million (including outstanding letters of credit of $11.0 million).</w:t>
      </w:r>
    </w:p>
    <w:p>
      <w:pPr>
        <w:spacing w:after="0" w:line="78" w:lineRule="exact"/>
        <w:rPr>
          <w:sz w:val="20"/>
          <w:szCs w:val="20"/>
          <w:color w:val="auto"/>
        </w:rPr>
      </w:pPr>
    </w:p>
    <w:p>
      <w:pPr>
        <w:jc w:val="both"/>
        <w:ind w:firstLine="309"/>
        <w:spacing w:after="0" w:line="289" w:lineRule="auto"/>
        <w:rPr>
          <w:sz w:val="20"/>
          <w:szCs w:val="20"/>
          <w:color w:val="auto"/>
        </w:rPr>
      </w:pPr>
      <w:r>
        <w:rPr>
          <w:rFonts w:ascii="Times New Roman" w:cs="Times New Roman" w:eastAsia="Times New Roman" w:hAnsi="Times New Roman"/>
          <w:sz w:val="15"/>
          <w:szCs w:val="15"/>
          <w:color w:val="auto"/>
        </w:rPr>
        <w:t>With respect to the Revolver, the Company is required to comply with a maximum first lien net leverage ratio of 5.00:1.00, which covenant will be tested quarterly on a trailing four quarter basis only if, as of the last day of the applicable fiscal quarter the Revolver is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2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type w:val="continuous"/>
        </w:sectPr>
      </w:pPr>
    </w:p>
    <w:bookmarkStart w:id="67" w:name="page68"/>
    <w:bookmarkEnd w:id="67"/>
    <w:p>
      <w:pPr>
        <w:spacing w:after="0"/>
        <w:rPr>
          <w:sz w:val="20"/>
          <w:szCs w:val="20"/>
          <w:color w:val="auto"/>
        </w:rPr>
      </w:pPr>
      <w:r>
        <w:rPr>
          <w:rFonts w:ascii="Times New Roman" w:cs="Times New Roman" w:eastAsia="Times New Roman" w:hAnsi="Times New Roman"/>
          <w:sz w:val="12"/>
          <w:szCs w:val="12"/>
          <w:b w:val="1"/>
          <w:bCs w:val="1"/>
          <w:u w:val="single" w:color="auto"/>
          <w:color w:val="0000FF"/>
        </w:rPr>
        <w:t>Table of Contents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SURGERY PARTNERS, INC.</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drawn in an aggregate amount greater than 40% of the total commitments under the Revolver. Such financial maintenance covenant is subject to an equity cure.</w:t>
      </w:r>
    </w:p>
    <w:p>
      <w:pPr>
        <w:spacing w:after="0" w:line="111" w:lineRule="exact"/>
        <w:rPr>
          <w:sz w:val="20"/>
          <w:szCs w:val="20"/>
          <w:color w:val="auto"/>
        </w:rPr>
      </w:pPr>
    </w:p>
    <w:p>
      <w:pPr>
        <w:jc w:val="both"/>
        <w:ind w:firstLine="309"/>
        <w:spacing w:after="0" w:line="279" w:lineRule="auto"/>
        <w:rPr>
          <w:sz w:val="20"/>
          <w:szCs w:val="20"/>
          <w:color w:val="auto"/>
        </w:rPr>
      </w:pPr>
      <w:r>
        <w:rPr>
          <w:rFonts w:ascii="Times New Roman" w:cs="Times New Roman" w:eastAsia="Times New Roman" w:hAnsi="Times New Roman"/>
          <w:sz w:val="15"/>
          <w:szCs w:val="15"/>
          <w:color w:val="auto"/>
        </w:rPr>
        <w:t>The Credit Facilities are guaranteed, on a joint and several basis, by SP Holdco I, Inc. and each of Surgery Center Holdings, Inc.'s current and future wholly-owned domestic restricted subsidiaries (subject to certain exceptions) (the "Subsidiary Guarantors") and are secured by a first priority security interest in substantially all of Surgery Center Holdings, Inc.'s, SP Holdco I, Inc.'s and the Subsidiary Guarantors’ assets (subject to certain exceptions).</w:t>
      </w:r>
    </w:p>
    <w:p>
      <w:pPr>
        <w:spacing w:after="0" w:line="69" w:lineRule="exact"/>
        <w:rPr>
          <w:sz w:val="20"/>
          <w:szCs w:val="20"/>
          <w:color w:val="auto"/>
        </w:rPr>
      </w:pPr>
    </w:p>
    <w:p>
      <w:pPr>
        <w:jc w:val="both"/>
        <w:ind w:firstLine="309"/>
        <w:spacing w:after="0" w:line="265" w:lineRule="auto"/>
        <w:rPr>
          <w:sz w:val="20"/>
          <w:szCs w:val="20"/>
          <w:color w:val="auto"/>
        </w:rPr>
      </w:pPr>
      <w:r>
        <w:rPr>
          <w:rFonts w:ascii="Times New Roman" w:cs="Times New Roman" w:eastAsia="Times New Roman" w:hAnsi="Times New Roman"/>
          <w:sz w:val="15"/>
          <w:szCs w:val="15"/>
          <w:color w:val="auto"/>
        </w:rPr>
        <w:t>The Credit Facilities includes customary negative covenants restricting or limiting the ability of the Company and its restricted subsidiaries, to, among other things, sell assets, alter its business, engage in mergers, acquisitions and other business combinations, declare dividends or redeem or repurchase equity interests, incur additional indebtedness or guarantees, make loans and investments, incur liens, enter into transactions with affiliates, prepay certain junior debt, and modify or waive certain material agreements and organizational documents, in each case, subject to customary and other agreed upon exceptions. The Credit Facilities also contain customary affirmative covenants and events of default. As of December 31, 2025, the Company was in compliance with the covenants contained in the Credit Agreement.</w:t>
      </w:r>
    </w:p>
    <w:p>
      <w:pPr>
        <w:spacing w:after="0" w:line="79" w:lineRule="exact"/>
        <w:rPr>
          <w:sz w:val="20"/>
          <w:szCs w:val="20"/>
          <w:color w:val="auto"/>
        </w:rPr>
      </w:pPr>
    </w:p>
    <w:p>
      <w:pPr>
        <w:jc w:val="both"/>
        <w:ind w:firstLine="309"/>
        <w:spacing w:after="0" w:line="265" w:lineRule="auto"/>
        <w:rPr>
          <w:sz w:val="20"/>
          <w:szCs w:val="20"/>
          <w:color w:val="auto"/>
        </w:rPr>
      </w:pPr>
      <w:r>
        <w:rPr>
          <w:rFonts w:ascii="Times New Roman" w:cs="Times New Roman" w:eastAsia="Times New Roman" w:hAnsi="Times New Roman"/>
          <w:sz w:val="15"/>
          <w:szCs w:val="15"/>
          <w:color w:val="auto"/>
        </w:rPr>
        <w:t>In connection with the aforementioned financing transactions, the Company recorded debt issuance costs and discount of $34.5 million, and a debt extinguishment loss of $15.5 million, included in loss on debt extinguishment in the accompanying consolidated statement of operations for the year ended December 31, 2023. The loss includes the partial write-off of unamortized debt issuance costs and discounts related to the prior existing term loans, and a portion of debt issuance costs incurred with entering the Credit Facilities. Debt issuance costs related to a recognized debt liability are presented on the consolidated balance sheets as a direct reduction from the carrying value of the debt liability and amortized to interest expense using the effective interest method over the lives of the related debt agreements.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First Amendment to Credit Agreement</w:t>
      </w:r>
    </w:p>
    <w:p>
      <w:pPr>
        <w:spacing w:after="0" w:line="180" w:lineRule="exact"/>
        <w:rPr>
          <w:sz w:val="20"/>
          <w:szCs w:val="20"/>
          <w:color w:val="auto"/>
        </w:rPr>
      </w:pPr>
    </w:p>
    <w:p>
      <w:pPr>
        <w:jc w:val="both"/>
        <w:ind w:firstLine="309"/>
        <w:spacing w:after="0" w:line="264" w:lineRule="auto"/>
        <w:rPr>
          <w:sz w:val="20"/>
          <w:szCs w:val="20"/>
          <w:color w:val="auto"/>
        </w:rPr>
      </w:pPr>
      <w:r>
        <w:rPr>
          <w:rFonts w:ascii="Times New Roman" w:cs="Times New Roman" w:eastAsia="Times New Roman" w:hAnsi="Times New Roman"/>
          <w:sz w:val="15"/>
          <w:szCs w:val="15"/>
          <w:color w:val="auto"/>
        </w:rPr>
        <w:t>On June 20, 2024, the Company entered into a first amendment (the "First Amendment") to its Credit Agreement, which replaced or refinanced in full all the existing term loans outstanding under the Credit Agreement (as in effect immediately prior to the First Amendment) (the "2024 Refinancing Term Loans"). The 2024 Refinancing Term Loans mature on December 19, 2030. The 2024 Refinancing Term Loans bear interest at a rate per annum equal to (x) the forward-looking term rate based on Secured Overnight Financing Rate (“Term SOFR”) plus 2.75% per annum or (y) an alternate base rate (which will be the highest of (i) the prime rate plus 0.5% per annum above the federal funds effective rate and (ii) Term SOFR plus 1.00% per annum (which shall not be less than 1.00%)) plus 1.75% per annum. The 2024 Refinancing Term Loans amortize in equal quarterly installments of 0.25% of the aggregate original principal amount of the 2024 Refinancing Term Loans. Voluntary prepayments of the 2024 Refinancing Term Loans are permitted, in whole or in part, with prior notice, without premium or penalty (except a 1.00% call premium in the case of certain repricing events occurring prior to the sixth month anniversary of the effective date of the First Amendment).</w:t>
      </w:r>
    </w:p>
    <w:p>
      <w:pPr>
        <w:spacing w:after="0" w:line="258" w:lineRule="exact"/>
        <w:rPr>
          <w:sz w:val="20"/>
          <w:szCs w:val="20"/>
          <w:color w:val="auto"/>
        </w:rPr>
      </w:pPr>
    </w:p>
    <w:p>
      <w:pPr>
        <w:jc w:val="both"/>
        <w:ind w:firstLine="309"/>
        <w:spacing w:after="0" w:line="279" w:lineRule="auto"/>
        <w:rPr>
          <w:sz w:val="20"/>
          <w:szCs w:val="20"/>
          <w:color w:val="auto"/>
        </w:rPr>
      </w:pPr>
      <w:r>
        <w:rPr>
          <w:rFonts w:ascii="Times New Roman" w:cs="Times New Roman" w:eastAsia="Times New Roman" w:hAnsi="Times New Roman"/>
          <w:sz w:val="15"/>
          <w:szCs w:val="15"/>
          <w:color w:val="auto"/>
        </w:rPr>
        <w:t>In connection with the First Amendment, the Company recorded debt issuance costs and discount of $2.4 million, and a debt extinguishment loss of $2.3 million, which is included in loss on debt extinguishment in the accompanying consolidated statements of operations for the year ended December 31, 2024. The loss on debt extinguishment includes the partial write-off of unamortized debt issuance costs and discounts.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Second Amendment to Credit Agreement</w:t>
      </w:r>
    </w:p>
    <w:p>
      <w:pPr>
        <w:spacing w:after="0" w:line="180" w:lineRule="exact"/>
        <w:rPr>
          <w:sz w:val="20"/>
          <w:szCs w:val="20"/>
          <w:color w:val="auto"/>
        </w:rPr>
      </w:pPr>
    </w:p>
    <w:p>
      <w:pPr>
        <w:jc w:val="both"/>
        <w:ind w:firstLine="309"/>
        <w:spacing w:after="0" w:line="261" w:lineRule="auto"/>
        <w:rPr>
          <w:sz w:val="20"/>
          <w:szCs w:val="20"/>
          <w:color w:val="auto"/>
        </w:rPr>
      </w:pPr>
      <w:r>
        <w:rPr>
          <w:rFonts w:ascii="Times New Roman" w:cs="Times New Roman" w:eastAsia="Times New Roman" w:hAnsi="Times New Roman"/>
          <w:sz w:val="15"/>
          <w:szCs w:val="15"/>
          <w:color w:val="auto"/>
        </w:rPr>
        <w:t>On August 13, 2025, the Company entered into a second amendment (the "Second Amendment") to its Credit Agreement, which amends the Credit Agreement, dated as of December 19, 2023, and amended on June 20, 2024. The Second Amendment provides for a new tranche of term loans under the Credit Agreement in an aggregate principal amount of $1,383 million (the “2025 Refinancing Term Loans”), which 2025 Refinancing Term Loans replace or refinance in full all of the existing term loans outstanding under the Credit Agreement (as in effect immediately prior to the Second Amendment), and (ii) refinance in full all of the existing revolving credit commitments and outstanding revolving loans under the Credit Agreement (as in effect immediately prior to the Second Amendment), all as further set forth in the Second Amendment. The 2025 Refinancing Term Loans mature on December 19, 2030 and the refinanced revolving credit commitments and refinanced revolving loans mature on December 19, 2028. The 2025 Refinancing Loans shall bear interest at a rate per annum equal to (x) the forward-looking term rate based on Term SOFR plus 2.50% per annum or (y) an alternate base rate (which will be the highest of (i) the prime rate, (ii) the federal funds effective rate plus 0.5% per annum and (iii) Term SOFR plus 1.00% per annum (which shall not be less than 1.00%)) plus 1.50% per annum. The 2025 Refinancing Term Loans amortize in equal quarterly installments of 0.25% of the aggregate original principal amount of the 2025 Refinancing Term Loans (such amortization payments will commenced on the last business day of the fiscal quarter ending September 30, 2025). Voluntary prepayments of the 2025 Refinancing Term Loans are permitted, in whole or in part, with prior notice, without premium or penalty (except a 1.00% call premium in the case of certain repricing events occurring prior to the sixth month anniversary of the Second Amendment Effective Date).</w:t>
      </w:r>
    </w:p>
    <w:p>
      <w:pPr>
        <w:spacing w:after="0" w:line="257" w:lineRule="exact"/>
        <w:rPr>
          <w:sz w:val="20"/>
          <w:szCs w:val="20"/>
          <w:color w:val="auto"/>
        </w:rPr>
      </w:pPr>
    </w:p>
    <w:p>
      <w:pPr>
        <w:jc w:val="both"/>
        <w:ind w:firstLine="309"/>
        <w:spacing w:after="0" w:line="279" w:lineRule="auto"/>
        <w:rPr>
          <w:sz w:val="20"/>
          <w:szCs w:val="20"/>
          <w:color w:val="auto"/>
        </w:rPr>
      </w:pPr>
      <w:r>
        <w:rPr>
          <w:rFonts w:ascii="Times New Roman" w:cs="Times New Roman" w:eastAsia="Times New Roman" w:hAnsi="Times New Roman"/>
          <w:sz w:val="15"/>
          <w:szCs w:val="15"/>
          <w:color w:val="auto"/>
        </w:rPr>
        <w:t>In connection with the Second Amendment, the Company recorded debt issuance costs and discount of $1.6 million, and a debt extinguishment loss of $1.3 million which is included in loss on debt extinguishment in the accompanying consolidated statements of operations for the year ended December 31, 2025. The loss on debt extinguishment includes the partial write-off of unamortized debt issuance costs and discounts.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3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2"/>
          <w:szCs w:val="12"/>
          <w:b w:val="1"/>
          <w:bCs w:val="1"/>
          <w:u w:val="single" w:color="auto"/>
          <w:color w:val="0000FF"/>
        </w:rPr>
        <w:t>Table of Contents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SURGERY PARTNERS, INC.</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7.250% Senior Unsecured Notes Due 2032</w:t>
      </w:r>
    </w:p>
    <w:p>
      <w:pPr>
        <w:spacing w:after="0" w:line="167" w:lineRule="exact"/>
        <w:rPr>
          <w:sz w:val="20"/>
          <w:szCs w:val="20"/>
          <w:color w:val="auto"/>
        </w:rPr>
      </w:pPr>
    </w:p>
    <w:p>
      <w:pPr>
        <w:jc w:val="both"/>
        <w:ind w:firstLine="309"/>
        <w:spacing w:after="0" w:line="266" w:lineRule="auto"/>
        <w:rPr>
          <w:sz w:val="20"/>
          <w:szCs w:val="20"/>
          <w:color w:val="auto"/>
        </w:rPr>
      </w:pPr>
      <w:r>
        <w:rPr>
          <w:rFonts w:ascii="Times New Roman" w:cs="Times New Roman" w:eastAsia="Times New Roman" w:hAnsi="Times New Roman"/>
          <w:sz w:val="15"/>
          <w:szCs w:val="15"/>
          <w:color w:val="auto"/>
        </w:rPr>
        <w:t>On April 10, 2024, the Company completed the issuance and sale of $800.0 million in aggregate principal amount of senior unsecured notes due 2032 (the "2032 Notes"). The 2032 Notes were issued pursuant to an Indenture dated April 10, 2024 by and among Surgery Center Holdings, Inc., certain subsidiaries of Surgery Center Holdings, Inc., as guarantors, and Wilmington Trust, National Association, as trustee. The 2032 Notes bear interest at an annual rate of 7.250% per year, payable semi-annually on April 15 and October 15 of each year, beginning on October 15, 2024. Proceeds from the sale of the 2032 Notes were used (i) to redeem all of the outstanding 6.750% senior unsecured notes due 2025 (the "2025 Notes") and the 10.000% senior unsecured notes due 2027 (the "2027 Notes," together with the 2025 Notes, the "Existing Notes"), (ii) to pay accrued interest on the Existing Notes through, but not including, April 25, 2024, (iii) to pay related fees and expenses in connection with the offering of the 2032 Notes and redemption of the Existing Notes and (iv) for general corporate purposes, including to fund future acquisitions.</w:t>
      </w:r>
    </w:p>
    <w:p>
      <w:pPr>
        <w:spacing w:after="0" w:line="67" w:lineRule="exact"/>
        <w:rPr>
          <w:sz w:val="20"/>
          <w:szCs w:val="20"/>
          <w:color w:val="auto"/>
        </w:rPr>
      </w:pPr>
    </w:p>
    <w:p>
      <w:pPr>
        <w:jc w:val="both"/>
        <w:ind w:firstLine="309"/>
        <w:spacing w:after="0" w:line="307" w:lineRule="auto"/>
        <w:rPr>
          <w:sz w:val="20"/>
          <w:szCs w:val="20"/>
          <w:color w:val="auto"/>
        </w:rPr>
      </w:pPr>
      <w:r>
        <w:rPr>
          <w:rFonts w:ascii="Times New Roman" w:cs="Times New Roman" w:eastAsia="Times New Roman" w:hAnsi="Times New Roman"/>
          <w:sz w:val="15"/>
          <w:szCs w:val="15"/>
          <w:color w:val="auto"/>
        </w:rPr>
        <w:t>In connection with this financing transaction, the Company recorded debt issuance costs and discount of $12.5 million, and a debt extinguishment loss of $2.8 million, which is included in loss on debt extinguishment in the accompanying consolidated statements of operations for the year ended December 31, 2024.</w:t>
      </w:r>
    </w:p>
    <w:p>
      <w:pPr>
        <w:spacing w:after="0" w:line="23" w:lineRule="exact"/>
        <w:rPr>
          <w:sz w:val="20"/>
          <w:szCs w:val="20"/>
          <w:color w:val="auto"/>
        </w:rPr>
      </w:pPr>
    </w:p>
    <w:p>
      <w:pPr>
        <w:jc w:val="both"/>
        <w:ind w:firstLine="309"/>
        <w:spacing w:after="0" w:line="256" w:lineRule="auto"/>
        <w:rPr>
          <w:sz w:val="20"/>
          <w:szCs w:val="20"/>
          <w:color w:val="auto"/>
        </w:rPr>
      </w:pPr>
      <w:r>
        <w:rPr>
          <w:rFonts w:ascii="Times New Roman" w:cs="Times New Roman" w:eastAsia="Times New Roman" w:hAnsi="Times New Roman"/>
          <w:sz w:val="15"/>
          <w:szCs w:val="15"/>
          <w:color w:val="auto"/>
        </w:rPr>
        <w:t>On December 16, 2025, the Company completed the issuance and sale of $425.0 million in aggregate principal amount of senior unsecured notes due 2032 at 101.00% of the principal cost. The notes were issued as part of the same series as the existing 2032 Unsecured Notes originally issued in April 2024, and have the same terms. In connection with the notes issuance, the Company recorded debt issuance costs, net of issuance premiums of $2.5 million. Proceeds from the sale of the $425.0 million 2032 Notes were used to (i) repay outstanding borrowings under the Revolver, (ii) pay fees and expenses incurred in connection with the offering of the 2032 Notes and (iii) for general corporate purposes, including potential future acquisitions.</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Other Debt</w:t>
      </w:r>
    </w:p>
    <w:p>
      <w:pPr>
        <w:spacing w:after="0" w:line="115" w:lineRule="exact"/>
        <w:rPr>
          <w:sz w:val="20"/>
          <w:szCs w:val="20"/>
          <w:color w:val="auto"/>
        </w:rPr>
      </w:pPr>
    </w:p>
    <w:p>
      <w:pPr>
        <w:jc w:val="both"/>
        <w:ind w:firstLine="309"/>
        <w:spacing w:after="0" w:line="269" w:lineRule="auto"/>
        <w:rPr>
          <w:sz w:val="20"/>
          <w:szCs w:val="20"/>
          <w:color w:val="auto"/>
        </w:rPr>
      </w:pPr>
      <w:r>
        <w:rPr>
          <w:rFonts w:ascii="Times New Roman" w:cs="Times New Roman" w:eastAsia="Times New Roman" w:hAnsi="Times New Roman"/>
          <w:sz w:val="15"/>
          <w:szCs w:val="15"/>
          <w:color w:val="auto"/>
        </w:rPr>
        <w:t>Certain of the Company’s subsidiaries have outstanding indebtedness under notes payable and other secured loans, which is collateralized by the real estate and equipment owned by the surgical facilities to which the loans were made, and right-of-use finance lease obligations for which the Company is liable to various vendors for several property and equipment leases classified as finance leases. The various bank indebtedness agreements contain covenants to maintain certain financial ratios and also restrict encumbrance of assets, creation of indebtedness, investing activities and payment of distributions.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Maturities</w:t>
      </w:r>
    </w:p>
    <w:p>
      <w:pPr>
        <w:spacing w:after="0" w:line="115" w:lineRule="exact"/>
        <w:rPr>
          <w:sz w:val="20"/>
          <w:szCs w:val="20"/>
          <w:color w:val="auto"/>
        </w:rPr>
      </w:pPr>
    </w:p>
    <w:p>
      <w:pPr>
        <w:jc w:val="both"/>
        <w:ind w:firstLine="309"/>
        <w:spacing w:after="0" w:line="307" w:lineRule="auto"/>
        <w:rPr>
          <w:sz w:val="20"/>
          <w:szCs w:val="20"/>
          <w:color w:val="auto"/>
        </w:rPr>
      </w:pPr>
      <w:r>
        <w:rPr>
          <w:rFonts w:ascii="Times New Roman" w:cs="Times New Roman" w:eastAsia="Times New Roman" w:hAnsi="Times New Roman"/>
          <w:sz w:val="15"/>
          <w:szCs w:val="15"/>
          <w:color w:val="auto"/>
        </w:rPr>
        <w:t>A summary of maturities for the Company's long-term debt, excluding unamortized debt issuance costs and the unamortized fair value discount discussed above, for the next five years and thereafter as of December 31, 2025 follows (in millions):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96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2026</w:t>
            </w:r>
          </w:p>
        </w:tc>
        <w:tc>
          <w:tcPr>
            <w:tcW w:w="600" w:type="dxa"/>
            <w:vAlign w:val="bottom"/>
            <w:shd w:val="clear" w:color="auto" w:fill="CCEEFF"/>
          </w:tcPr>
          <w:p>
            <w:pPr>
              <w:jc w:val="right"/>
              <w:ind w:right="443"/>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99.3</w:t>
            </w:r>
          </w:p>
        </w:tc>
      </w:tr>
      <w:tr>
        <w:trPr>
          <w:trHeight w:val="203"/>
        </w:trPr>
        <w:tc>
          <w:tcPr>
            <w:tcW w:w="960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2027</w:t>
            </w:r>
          </w:p>
        </w:tc>
        <w:tc>
          <w:tcPr>
            <w:tcW w:w="6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91.1</w:t>
            </w:r>
          </w:p>
        </w:tc>
      </w:tr>
      <w:tr>
        <w:trPr>
          <w:trHeight w:val="209"/>
        </w:trPr>
        <w:tc>
          <w:tcPr>
            <w:tcW w:w="96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2028</w:t>
            </w:r>
          </w:p>
        </w:tc>
        <w:tc>
          <w:tcPr>
            <w:tcW w:w="6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83.1</w:t>
            </w:r>
          </w:p>
        </w:tc>
      </w:tr>
      <w:tr>
        <w:trPr>
          <w:trHeight w:val="203"/>
        </w:trPr>
        <w:tc>
          <w:tcPr>
            <w:tcW w:w="960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2029</w:t>
            </w:r>
          </w:p>
        </w:tc>
        <w:tc>
          <w:tcPr>
            <w:tcW w:w="6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72.2</w:t>
            </w:r>
          </w:p>
        </w:tc>
      </w:tr>
      <w:tr>
        <w:trPr>
          <w:trHeight w:val="209"/>
        </w:trPr>
        <w:tc>
          <w:tcPr>
            <w:tcW w:w="96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2030</w:t>
            </w:r>
          </w:p>
        </w:tc>
        <w:tc>
          <w:tcPr>
            <w:tcW w:w="6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1,382.8</w:t>
            </w:r>
          </w:p>
        </w:tc>
      </w:tr>
      <w:tr>
        <w:trPr>
          <w:trHeight w:val="203"/>
        </w:trPr>
        <w:tc>
          <w:tcPr>
            <w:tcW w:w="96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5"/>
                <w:szCs w:val="15"/>
                <w:color w:val="auto"/>
              </w:rPr>
              <w:t>Thereafter</w:t>
            </w:r>
          </w:p>
        </w:tc>
        <w:tc>
          <w:tcPr>
            <w:tcW w:w="6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2,006.9</w:t>
            </w:r>
          </w:p>
        </w:tc>
      </w:tr>
      <w:tr>
        <w:trPr>
          <w:trHeight w:val="227"/>
        </w:trPr>
        <w:tc>
          <w:tcPr>
            <w:tcW w:w="96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Total</w:t>
            </w:r>
          </w:p>
        </w:tc>
        <w:tc>
          <w:tcPr>
            <w:tcW w:w="600" w:type="dxa"/>
            <w:vAlign w:val="bottom"/>
            <w:tcBorders>
              <w:bottom w:val="single" w:sz="8" w:color="auto"/>
            </w:tcBorders>
            <w:shd w:val="clear" w:color="auto" w:fill="CCEEFF"/>
          </w:tcPr>
          <w:p>
            <w:pPr>
              <w:jc w:val="right"/>
              <w:ind w:right="443"/>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3,735.4</w:t>
            </w:r>
          </w:p>
        </w:tc>
      </w:tr>
      <w:tr>
        <w:trPr>
          <w:trHeight w:val="20"/>
        </w:trPr>
        <w:tc>
          <w:tcPr>
            <w:tcW w:w="96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6. Leases</w:t>
      </w:r>
    </w:p>
    <w:p>
      <w:pPr>
        <w:spacing w:after="0" w:line="128" w:lineRule="exact"/>
        <w:rPr>
          <w:sz w:val="20"/>
          <w:szCs w:val="20"/>
          <w:color w:val="auto"/>
        </w:rPr>
      </w:pPr>
    </w:p>
    <w:p>
      <w:pPr>
        <w:jc w:val="both"/>
        <w:ind w:firstLine="309"/>
        <w:spacing w:after="0" w:line="261" w:lineRule="auto"/>
        <w:rPr>
          <w:sz w:val="20"/>
          <w:szCs w:val="20"/>
          <w:color w:val="auto"/>
        </w:rPr>
      </w:pPr>
      <w:r>
        <w:rPr>
          <w:rFonts w:ascii="Times New Roman" w:cs="Times New Roman" w:eastAsia="Times New Roman" w:hAnsi="Times New Roman"/>
          <w:sz w:val="15"/>
          <w:szCs w:val="15"/>
          <w:color w:val="auto"/>
        </w:rPr>
        <w:t>The Company determines if an arrangement is a lease at inception. Right-of-use assets represent the right to use the underlying assets for the lease term and the lease liabilities represent the obligation to make lease payments arising from the leases. Right-of-use assets and liabilities are recognized at commencement date based on the present value of future lease payments over the lease term, which includes only payments that are fixed and determinable at the time of commencement. When readily determinable, the Company uses the interest rate implicit in a lease to determine the present value of future lease payments. For leases where the implicit rate is not readily determinable, the Company's incremental borrowing rate is used. The Company calculates its incremental borrowing rate on a periodic basis using a third-party financial model that estimates the rate of interest the Company would have to pay to borrow an amount equal to the total lease payments on a collateralized basis over a term similar to the lease. The Company applies its incremental borrowing rate using a portfolio approach. The right-of-use asset also includes any lease payments made prior to commencement and is recorded net of any lease incentives received. Lease terms may include options to extend or terminate the lease when it is reasonably certain that the Company will exercise such options.</w:t>
      </w:r>
    </w:p>
    <w:p>
      <w:pPr>
        <w:spacing w:after="0" w:line="85" w:lineRule="exact"/>
        <w:rPr>
          <w:sz w:val="20"/>
          <w:szCs w:val="20"/>
          <w:color w:val="auto"/>
        </w:rPr>
      </w:pPr>
    </w:p>
    <w:p>
      <w:pPr>
        <w:jc w:val="both"/>
        <w:ind w:firstLine="309"/>
        <w:spacing w:after="0" w:line="269" w:lineRule="auto"/>
        <w:rPr>
          <w:sz w:val="20"/>
          <w:szCs w:val="20"/>
          <w:color w:val="auto"/>
        </w:rPr>
      </w:pPr>
      <w:r>
        <w:rPr>
          <w:rFonts w:ascii="Times New Roman" w:cs="Times New Roman" w:eastAsia="Times New Roman" w:hAnsi="Times New Roman"/>
          <w:sz w:val="15"/>
          <w:szCs w:val="15"/>
          <w:color w:val="auto"/>
        </w:rPr>
        <w:t>The Company's operating leases are primarily for real estate, including medical office buildings, and corporate and other administrative offices. The Company's finance leases are primarily for medical equipment and information technology and telecommunications assets. The Company's finance leases also include certain land, buildings and improvements as discussed in Note 3. "Property and Equipment." Real estate lease agreements typically have initial terms of ten years and may include one or more options to renew. Certain leases also include options to purchase the leased property. The useful life of assets and leasehold improvements are limited</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3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2"/>
          <w:szCs w:val="12"/>
          <w:b w:val="1"/>
          <w:bCs w:val="1"/>
          <w:u w:val="single" w:color="auto"/>
          <w:color w:val="0000FF"/>
        </w:rPr>
        <w:t>Table of Contents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SURGERY PARTNERS, INC.</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5"/>
          <w:szCs w:val="15"/>
          <w:color w:val="auto"/>
        </w:rPr>
        <w:t>by the expected lease term, unless there is a transfer of title or purchase option reasonably certain of exercise. The majority of the Company's medical equipment leases have a bargain purchase option that is reasonably certain of exercise, so these assets are depreciated over their useful life. The Company's lease agreements do not contain any material residual value guarantees, restrictions or covenants. The Company also elected the accounting policy practical expedient to exclude leases with an initial term of twelve months or less from the balance sheet.</w:t>
      </w:r>
    </w:p>
    <w:p>
      <w:pPr>
        <w:spacing w:after="0" w:line="78" w:lineRule="exact"/>
        <w:rPr>
          <w:sz w:val="20"/>
          <w:szCs w:val="20"/>
          <w:color w:val="auto"/>
        </w:rPr>
      </w:pPr>
    </w:p>
    <w:p>
      <w:pPr>
        <w:jc w:val="both"/>
        <w:ind w:firstLine="309"/>
        <w:spacing w:after="0" w:line="269" w:lineRule="auto"/>
        <w:rPr>
          <w:sz w:val="20"/>
          <w:szCs w:val="20"/>
          <w:color w:val="auto"/>
        </w:rPr>
      </w:pPr>
      <w:r>
        <w:rPr>
          <w:rFonts w:ascii="Times New Roman" w:cs="Times New Roman" w:eastAsia="Times New Roman" w:hAnsi="Times New Roman"/>
          <w:sz w:val="15"/>
          <w:szCs w:val="15"/>
          <w:color w:val="auto"/>
        </w:rPr>
        <w:t>Certain of the Company's lease agreements require the Company to pay common area maintenance, repairs, property taxes and insurance costs, which are variable amounts based on actual costs incurred during each applicable period. Certain lease agreements also include escalating rent payments that are not fixed at commencement but are based on an index that is determined in future periods over the lease term based on changes in the Consumer Price Index or other measure of cost inflation. These variable components of lease payments are expensed as incurred and are not included in the determination of the right-of-use asset or lease liability.</w:t>
      </w:r>
    </w:p>
    <w:p>
      <w:pPr>
        <w:spacing w:after="0" w:line="65" w:lineRule="exact"/>
        <w:rPr>
          <w:sz w:val="20"/>
          <w:szCs w:val="20"/>
          <w:color w:val="auto"/>
        </w:rPr>
      </w:pPr>
    </w:p>
    <w:p>
      <w:pPr>
        <w:jc w:val="both"/>
        <w:ind w:firstLine="309"/>
        <w:spacing w:after="0" w:line="307" w:lineRule="auto"/>
        <w:rPr>
          <w:sz w:val="20"/>
          <w:szCs w:val="20"/>
          <w:color w:val="auto"/>
        </w:rPr>
      </w:pPr>
      <w:r>
        <w:rPr>
          <w:rFonts w:ascii="Times New Roman" w:cs="Times New Roman" w:eastAsia="Times New Roman" w:hAnsi="Times New Roman"/>
          <w:sz w:val="15"/>
          <w:szCs w:val="15"/>
          <w:color w:val="auto"/>
        </w:rPr>
        <w:t>The following table presents the components of the Company's right-of-use assets and liabilities related to leases and their classification in the consolidated balance sheets (in millions):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000" w:type="dxa"/>
            <w:vAlign w:val="bottom"/>
          </w:tcPr>
          <w:p>
            <w:pPr>
              <w:spacing w:after="0"/>
              <w:rPr>
                <w:sz w:val="15"/>
                <w:szCs w:val="15"/>
                <w:color w:val="auto"/>
              </w:rPr>
            </w:pPr>
          </w:p>
        </w:tc>
        <w:tc>
          <w:tcPr>
            <w:tcW w:w="4840" w:type="dxa"/>
            <w:vAlign w:val="bottom"/>
            <w:gridSpan w:val="2"/>
          </w:tcPr>
          <w:p>
            <w:pPr>
              <w:ind w:left="1040"/>
              <w:spacing w:after="0"/>
              <w:rPr>
                <w:sz w:val="20"/>
                <w:szCs w:val="20"/>
                <w:color w:val="auto"/>
              </w:rPr>
            </w:pPr>
            <w:r>
              <w:rPr>
                <w:rFonts w:ascii="Times New Roman" w:cs="Times New Roman" w:eastAsia="Times New Roman" w:hAnsi="Times New Roman"/>
                <w:sz w:val="14"/>
                <w:szCs w:val="14"/>
                <w:b w:val="1"/>
                <w:bCs w:val="1"/>
                <w:color w:val="auto"/>
              </w:rPr>
              <w:t>Classification in Consolidated Balance Sheets</w:t>
            </w:r>
          </w:p>
        </w:tc>
        <w:tc>
          <w:tcPr>
            <w:tcW w:w="180" w:type="dxa"/>
            <w:vAlign w:val="bottom"/>
          </w:tcPr>
          <w:p>
            <w:pPr>
              <w:spacing w:after="0"/>
              <w:rPr>
                <w:sz w:val="15"/>
                <w:szCs w:val="15"/>
                <w:color w:val="auto"/>
              </w:rPr>
            </w:pPr>
          </w:p>
        </w:tc>
        <w:tc>
          <w:tcPr>
            <w:tcW w:w="15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80" w:type="dxa"/>
            <w:vAlign w:val="bottom"/>
          </w:tcPr>
          <w:p>
            <w:pPr>
              <w:spacing w:after="0"/>
              <w:rPr>
                <w:sz w:val="15"/>
                <w:szCs w:val="15"/>
                <w:color w:val="auto"/>
              </w:rPr>
            </w:pPr>
          </w:p>
        </w:tc>
        <w:tc>
          <w:tcPr>
            <w:tcW w:w="1460" w:type="dxa"/>
            <w:vAlign w:val="bottom"/>
          </w:tcPr>
          <w:p>
            <w:pPr>
              <w:jc w:val="right"/>
              <w:ind w:right="183"/>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2"/>
        </w:trPr>
        <w:tc>
          <w:tcPr>
            <w:tcW w:w="3000" w:type="dxa"/>
            <w:vAlign w:val="bottom"/>
          </w:tcPr>
          <w:p>
            <w:pPr>
              <w:spacing w:after="0" w:line="20" w:lineRule="exact"/>
              <w:rPr>
                <w:sz w:val="1"/>
                <w:szCs w:val="1"/>
                <w:color w:val="auto"/>
              </w:rPr>
            </w:pPr>
          </w:p>
        </w:tc>
        <w:tc>
          <w:tcPr>
            <w:tcW w:w="4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32"/>
        </w:trPr>
        <w:tc>
          <w:tcPr>
            <w:tcW w:w="3000" w:type="dxa"/>
            <w:vAlign w:val="bottom"/>
          </w:tcPr>
          <w:p>
            <w:pPr>
              <w:spacing w:after="0"/>
              <w:rPr>
                <w:sz w:val="2"/>
                <w:szCs w:val="2"/>
                <w:color w:val="auto"/>
              </w:rPr>
            </w:pPr>
          </w:p>
        </w:tc>
        <w:tc>
          <w:tcPr>
            <w:tcW w:w="4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06"/>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Assets:</w:t>
            </w:r>
          </w:p>
        </w:tc>
        <w:tc>
          <w:tcPr>
            <w:tcW w:w="4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r>
      <w:tr>
        <w:trPr>
          <w:trHeight w:val="203"/>
        </w:trPr>
        <w:tc>
          <w:tcPr>
            <w:tcW w:w="300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Operating lease assets</w:t>
            </w:r>
          </w:p>
        </w:tc>
        <w:tc>
          <w:tcPr>
            <w:tcW w:w="48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Right-of-use operating lease assets</w:t>
            </w:r>
          </w:p>
        </w:tc>
        <w:tc>
          <w:tcPr>
            <w:tcW w:w="1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4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289.2</w:t>
            </w:r>
          </w:p>
        </w:tc>
        <w:tc>
          <w:tcPr>
            <w:tcW w:w="100" w:type="dxa"/>
            <w:vAlign w:val="bottom"/>
          </w:tcPr>
          <w:p>
            <w:pPr>
              <w:spacing w:after="0"/>
              <w:rPr>
                <w:sz w:val="17"/>
                <w:szCs w:val="17"/>
                <w:color w:val="auto"/>
              </w:rPr>
            </w:pPr>
          </w:p>
        </w:tc>
        <w:tc>
          <w:tcPr>
            <w:tcW w:w="18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w w:val="79"/>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295.7</w:t>
            </w:r>
          </w:p>
        </w:tc>
      </w:tr>
      <w:tr>
        <w:trPr>
          <w:trHeight w:val="206"/>
        </w:trPr>
        <w:tc>
          <w:tcPr>
            <w:tcW w:w="30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Finance lease assets</w:t>
            </w:r>
          </w:p>
        </w:tc>
        <w:tc>
          <w:tcPr>
            <w:tcW w:w="4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Property and equipment, net of accumulated depreciation</w:t>
            </w:r>
          </w:p>
        </w:tc>
        <w:tc>
          <w:tcPr>
            <w:tcW w:w="18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740.4</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655.6</w:t>
            </w:r>
          </w:p>
        </w:tc>
      </w:tr>
      <w:tr>
        <w:trPr>
          <w:trHeight w:val="202"/>
        </w:trPr>
        <w:tc>
          <w:tcPr>
            <w:tcW w:w="300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Total leased assets</w:t>
            </w:r>
          </w:p>
        </w:tc>
        <w:tc>
          <w:tcPr>
            <w:tcW w:w="4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4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1,029.6</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w w:val="79"/>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951.3</w:t>
            </w:r>
          </w:p>
        </w:tc>
      </w:tr>
      <w:tr>
        <w:trPr>
          <w:trHeight w:val="20"/>
        </w:trPr>
        <w:tc>
          <w:tcPr>
            <w:tcW w:w="3000" w:type="dxa"/>
            <w:vAlign w:val="bottom"/>
            <w:tcBorders>
              <w:bottom w:val="single" w:sz="8" w:color="CCEEFF"/>
            </w:tcBorders>
          </w:tcPr>
          <w:p>
            <w:pPr>
              <w:spacing w:after="0" w:line="20" w:lineRule="exact"/>
              <w:rPr>
                <w:sz w:val="1"/>
                <w:szCs w:val="1"/>
                <w:color w:val="auto"/>
              </w:rPr>
            </w:pPr>
          </w:p>
        </w:tc>
        <w:tc>
          <w:tcPr>
            <w:tcW w:w="47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11"/>
        </w:trPr>
        <w:tc>
          <w:tcPr>
            <w:tcW w:w="3000" w:type="dxa"/>
            <w:vAlign w:val="bottom"/>
            <w:shd w:val="clear" w:color="auto" w:fill="CCEEFF"/>
          </w:tcPr>
          <w:p>
            <w:pPr>
              <w:spacing w:after="0"/>
              <w:rPr>
                <w:sz w:val="18"/>
                <w:szCs w:val="18"/>
                <w:color w:val="auto"/>
              </w:rPr>
            </w:pPr>
          </w:p>
        </w:tc>
        <w:tc>
          <w:tcPr>
            <w:tcW w:w="4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05"/>
        </w:trPr>
        <w:tc>
          <w:tcPr>
            <w:tcW w:w="300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Liabilities:</w:t>
            </w:r>
          </w:p>
        </w:tc>
        <w:tc>
          <w:tcPr>
            <w:tcW w:w="4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7"/>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Operating lease liabilities:</w:t>
            </w:r>
          </w:p>
        </w:tc>
        <w:tc>
          <w:tcPr>
            <w:tcW w:w="4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03"/>
        </w:trPr>
        <w:tc>
          <w:tcPr>
            <w:tcW w:w="30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Current</w:t>
            </w:r>
          </w:p>
        </w:tc>
        <w:tc>
          <w:tcPr>
            <w:tcW w:w="48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Other current liabilities</w:t>
            </w:r>
          </w:p>
        </w:tc>
        <w:tc>
          <w:tcPr>
            <w:tcW w:w="1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4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42.7</w:t>
            </w:r>
          </w:p>
        </w:tc>
        <w:tc>
          <w:tcPr>
            <w:tcW w:w="100" w:type="dxa"/>
            <w:vAlign w:val="bottom"/>
          </w:tcPr>
          <w:p>
            <w:pPr>
              <w:spacing w:after="0"/>
              <w:rPr>
                <w:sz w:val="17"/>
                <w:szCs w:val="17"/>
                <w:color w:val="auto"/>
              </w:rPr>
            </w:pPr>
          </w:p>
        </w:tc>
        <w:tc>
          <w:tcPr>
            <w:tcW w:w="18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w w:val="79"/>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41.0</w:t>
            </w:r>
          </w:p>
        </w:tc>
      </w:tr>
      <w:tr>
        <w:trPr>
          <w:trHeight w:val="209"/>
        </w:trPr>
        <w:tc>
          <w:tcPr>
            <w:tcW w:w="3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Long-term</w:t>
            </w:r>
          </w:p>
        </w:tc>
        <w:tc>
          <w:tcPr>
            <w:tcW w:w="4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Right-of-use operating lease liabilities</w:t>
            </w:r>
          </w:p>
        </w:tc>
        <w:tc>
          <w:tcPr>
            <w:tcW w:w="1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279.9</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292.1</w:t>
            </w:r>
          </w:p>
        </w:tc>
      </w:tr>
      <w:tr>
        <w:trPr>
          <w:trHeight w:val="196"/>
        </w:trPr>
        <w:tc>
          <w:tcPr>
            <w:tcW w:w="30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5"/>
                <w:szCs w:val="15"/>
                <w:color w:val="auto"/>
              </w:rPr>
              <w:t>Total operating lease liabilities</w:t>
            </w:r>
          </w:p>
        </w:tc>
        <w:tc>
          <w:tcPr>
            <w:tcW w:w="47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322.6</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333.1</w:t>
            </w:r>
          </w:p>
        </w:tc>
      </w:tr>
      <w:tr>
        <w:trPr>
          <w:trHeight w:val="189"/>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Finance lease liabilities:</w:t>
            </w:r>
          </w:p>
        </w:tc>
        <w:tc>
          <w:tcPr>
            <w:tcW w:w="4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r>
      <w:tr>
        <w:trPr>
          <w:trHeight w:val="203"/>
        </w:trPr>
        <w:tc>
          <w:tcPr>
            <w:tcW w:w="30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Current</w:t>
            </w:r>
          </w:p>
        </w:tc>
        <w:tc>
          <w:tcPr>
            <w:tcW w:w="48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Current maturities of long-term debt</w:t>
            </w:r>
          </w:p>
        </w:tc>
        <w:tc>
          <w:tcPr>
            <w:tcW w:w="180" w:type="dxa"/>
            <w:vAlign w:val="bottom"/>
          </w:tcPr>
          <w:p>
            <w:pPr>
              <w:spacing w:after="0"/>
              <w:rPr>
                <w:sz w:val="17"/>
                <w:szCs w:val="17"/>
                <w:color w:val="auto"/>
              </w:rPr>
            </w:pPr>
          </w:p>
        </w:tc>
        <w:tc>
          <w:tcPr>
            <w:tcW w:w="14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39.0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33.1</w:t>
            </w:r>
          </w:p>
        </w:tc>
      </w:tr>
      <w:tr>
        <w:trPr>
          <w:trHeight w:val="209"/>
        </w:trPr>
        <w:tc>
          <w:tcPr>
            <w:tcW w:w="3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Long-term</w:t>
            </w:r>
          </w:p>
        </w:tc>
        <w:tc>
          <w:tcPr>
            <w:tcW w:w="4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Long-term debt, less current maturities</w:t>
            </w:r>
          </w:p>
        </w:tc>
        <w:tc>
          <w:tcPr>
            <w:tcW w:w="1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896.5</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765.6</w:t>
            </w:r>
          </w:p>
        </w:tc>
      </w:tr>
      <w:tr>
        <w:trPr>
          <w:trHeight w:val="196"/>
        </w:trPr>
        <w:tc>
          <w:tcPr>
            <w:tcW w:w="30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5"/>
                <w:szCs w:val="15"/>
                <w:color w:val="auto"/>
              </w:rPr>
              <w:t>Total finance lease liabilities</w:t>
            </w:r>
          </w:p>
        </w:tc>
        <w:tc>
          <w:tcPr>
            <w:tcW w:w="47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935.5</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798.7</w:t>
            </w:r>
          </w:p>
        </w:tc>
      </w:tr>
      <w:tr>
        <w:trPr>
          <w:trHeight w:val="227"/>
        </w:trPr>
        <w:tc>
          <w:tcPr>
            <w:tcW w:w="30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Total lease liabilities</w:t>
            </w:r>
          </w:p>
        </w:tc>
        <w:tc>
          <w:tcPr>
            <w:tcW w:w="47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4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1,258.1</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1,131.8</w:t>
            </w: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4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jc w:val="both"/>
        <w:ind w:firstLine="309"/>
        <w:spacing w:after="0" w:line="279" w:lineRule="auto"/>
        <w:rPr>
          <w:sz w:val="20"/>
          <w:szCs w:val="20"/>
          <w:color w:val="auto"/>
        </w:rPr>
      </w:pPr>
      <w:r>
        <w:rPr>
          <w:rFonts w:ascii="Times New Roman" w:cs="Times New Roman" w:eastAsia="Times New Roman" w:hAnsi="Times New Roman"/>
          <w:sz w:val="15"/>
          <w:szCs w:val="15"/>
          <w:color w:val="auto"/>
        </w:rPr>
        <w:t>During the year ended December 31, 2025, the Company extended or otherwise modified the renewal terms of certain existing facility real estate leases, resulting in the reclassification of the leases from operating to finance. The modifications resulted in an increase to finance lease liabilities and assets of $36.6 million and $35.8 million, respectively, including the reclassification of existing operating lease liabilities and assets of $19.6 million and $18.5 million, respectively.</w:t>
      </w:r>
    </w:p>
    <w:p>
      <w:pPr>
        <w:spacing w:after="0" w:line="5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The following table presents the weighted-average lease terms and discount rates at December 31, 2025 and 2024 (in millions):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080" w:type="dxa"/>
            <w:vAlign w:val="bottom"/>
          </w:tcPr>
          <w:p>
            <w:pPr>
              <w:spacing w:after="0"/>
              <w:rPr>
                <w:sz w:val="15"/>
                <w:szCs w:val="15"/>
                <w:color w:val="auto"/>
              </w:rPr>
            </w:pPr>
          </w:p>
        </w:tc>
        <w:tc>
          <w:tcPr>
            <w:tcW w:w="3640" w:type="dxa"/>
            <w:vAlign w:val="bottom"/>
            <w:gridSpan w:val="4"/>
          </w:tcPr>
          <w:p>
            <w:pPr>
              <w:ind w:left="12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3520" w:type="dxa"/>
            <w:vAlign w:val="bottom"/>
            <w:gridSpan w:val="3"/>
          </w:tcPr>
          <w:p>
            <w:pPr>
              <w:jc w:val="right"/>
              <w:ind w:right="1126"/>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2"/>
        </w:trPr>
        <w:tc>
          <w:tcPr>
            <w:tcW w:w="408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181"/>
        </w:trPr>
        <w:tc>
          <w:tcPr>
            <w:tcW w:w="4080" w:type="dxa"/>
            <w:vAlign w:val="bottom"/>
          </w:tcPr>
          <w:p>
            <w:pPr>
              <w:spacing w:after="0"/>
              <w:rPr>
                <w:sz w:val="15"/>
                <w:szCs w:val="15"/>
                <w:color w:val="auto"/>
              </w:rPr>
            </w:pPr>
          </w:p>
        </w:tc>
        <w:tc>
          <w:tcPr>
            <w:tcW w:w="1820" w:type="dxa"/>
            <w:vAlign w:val="bottom"/>
            <w:tcBorders>
              <w:top w:val="single" w:sz="8" w:color="auto"/>
            </w:tcBorders>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1700" w:type="dxa"/>
            <w:vAlign w:val="bottom"/>
            <w:tcBorders>
              <w:top w:val="single" w:sz="8" w:color="auto"/>
            </w:tcBorders>
          </w:tcPr>
          <w:p>
            <w:pPr>
              <w:jc w:val="right"/>
              <w:ind w:right="326"/>
              <w:spacing w:after="0"/>
              <w:rPr>
                <w:sz w:val="20"/>
                <w:szCs w:val="20"/>
                <w:color w:val="auto"/>
              </w:rPr>
            </w:pPr>
            <w:r>
              <w:rPr>
                <w:rFonts w:ascii="Times New Roman" w:cs="Times New Roman" w:eastAsia="Times New Roman" w:hAnsi="Times New Roman"/>
                <w:sz w:val="14"/>
                <w:szCs w:val="14"/>
                <w:b w:val="1"/>
                <w:bCs w:val="1"/>
                <w:color w:val="auto"/>
              </w:rPr>
              <w:t>Finance Leases</w:t>
            </w:r>
          </w:p>
        </w:tc>
        <w:tc>
          <w:tcPr>
            <w:tcW w:w="120" w:type="dxa"/>
            <w:vAlign w:val="bottom"/>
          </w:tcPr>
          <w:p>
            <w:pPr>
              <w:spacing w:after="0"/>
              <w:rPr>
                <w:sz w:val="15"/>
                <w:szCs w:val="15"/>
                <w:color w:val="auto"/>
              </w:rPr>
            </w:pPr>
          </w:p>
        </w:tc>
        <w:tc>
          <w:tcPr>
            <w:tcW w:w="1820" w:type="dxa"/>
            <w:vAlign w:val="bottom"/>
            <w:tcBorders>
              <w:top w:val="single" w:sz="8" w:color="auto"/>
            </w:tcBorders>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1700" w:type="dxa"/>
            <w:vAlign w:val="bottom"/>
            <w:tcBorders>
              <w:top w:val="single" w:sz="8" w:color="auto"/>
            </w:tcBorders>
          </w:tcPr>
          <w:p>
            <w:pPr>
              <w:jc w:val="right"/>
              <w:ind w:right="326"/>
              <w:spacing w:after="0"/>
              <w:rPr>
                <w:sz w:val="20"/>
                <w:szCs w:val="20"/>
                <w:color w:val="auto"/>
              </w:rPr>
            </w:pPr>
            <w:r>
              <w:rPr>
                <w:rFonts w:ascii="Times New Roman" w:cs="Times New Roman" w:eastAsia="Times New Roman" w:hAnsi="Times New Roman"/>
                <w:sz w:val="14"/>
                <w:szCs w:val="14"/>
                <w:b w:val="1"/>
                <w:bCs w:val="1"/>
                <w:color w:val="auto"/>
              </w:rPr>
              <w:t>Finance Leases</w:t>
            </w:r>
          </w:p>
        </w:tc>
      </w:tr>
      <w:tr>
        <w:trPr>
          <w:trHeight w:val="89"/>
        </w:trPr>
        <w:tc>
          <w:tcPr>
            <w:tcW w:w="4080" w:type="dxa"/>
            <w:vAlign w:val="bottom"/>
          </w:tcPr>
          <w:p>
            <w:pPr>
              <w:spacing w:after="0"/>
              <w:rPr>
                <w:sz w:val="7"/>
                <w:szCs w:val="7"/>
                <w:color w:val="auto"/>
              </w:rPr>
            </w:pPr>
          </w:p>
        </w:tc>
        <w:tc>
          <w:tcPr>
            <w:tcW w:w="172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70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70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700" w:type="dxa"/>
            <w:vAlign w:val="bottom"/>
            <w:tcBorders>
              <w:top w:val="single" w:sz="8" w:color="auto"/>
            </w:tcBorders>
          </w:tcPr>
          <w:p>
            <w:pPr>
              <w:spacing w:after="0"/>
              <w:rPr>
                <w:sz w:val="7"/>
                <w:szCs w:val="7"/>
                <w:color w:val="auto"/>
              </w:rPr>
            </w:pPr>
          </w:p>
        </w:tc>
      </w:tr>
      <w:tr>
        <w:trPr>
          <w:trHeight w:val="206"/>
        </w:trPr>
        <w:tc>
          <w:tcPr>
            <w:tcW w:w="4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Weighted-average remaining lease term</w:t>
            </w:r>
          </w:p>
        </w:tc>
        <w:tc>
          <w:tcPr>
            <w:tcW w:w="1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10.8 years</w:t>
            </w:r>
          </w:p>
        </w:tc>
        <w:tc>
          <w:tcPr>
            <w:tcW w:w="1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19.6 years</w:t>
            </w:r>
          </w:p>
        </w:tc>
        <w:tc>
          <w:tcPr>
            <w:tcW w:w="1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9.8 years</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19.2 years</w:t>
            </w:r>
          </w:p>
        </w:tc>
      </w:tr>
      <w:tr>
        <w:trPr>
          <w:trHeight w:val="201"/>
        </w:trPr>
        <w:tc>
          <w:tcPr>
            <w:tcW w:w="408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Weight average discount rate</w:t>
            </w:r>
          </w:p>
        </w:tc>
        <w:tc>
          <w:tcPr>
            <w:tcW w:w="1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7.5 %</w:t>
            </w:r>
          </w:p>
        </w:tc>
        <w:tc>
          <w:tcPr>
            <w:tcW w:w="10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7.2 %</w:t>
            </w:r>
          </w:p>
        </w:tc>
        <w:tc>
          <w:tcPr>
            <w:tcW w:w="12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7.9 %</w:t>
            </w:r>
          </w:p>
        </w:tc>
        <w:tc>
          <w:tcPr>
            <w:tcW w:w="12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8.1 %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3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2"/>
          <w:szCs w:val="12"/>
          <w:b w:val="1"/>
          <w:bCs w:val="1"/>
          <w:u w:val="single" w:color="auto"/>
          <w:color w:val="0000FF"/>
        </w:rPr>
        <w:t>Table of Contents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SURGERY PARTNERS, INC.</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The following table presents the components of the Company's lease expense and their classification in the consolidated statements of operations (in millions):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840" w:type="dxa"/>
            <w:vAlign w:val="bottom"/>
          </w:tcPr>
          <w:p>
            <w:pPr>
              <w:spacing w:after="0"/>
              <w:rPr>
                <w:sz w:val="15"/>
                <w:szCs w:val="15"/>
                <w:color w:val="auto"/>
              </w:rPr>
            </w:pPr>
          </w:p>
        </w:tc>
        <w:tc>
          <w:tcPr>
            <w:tcW w:w="2860" w:type="dxa"/>
            <w:vAlign w:val="bottom"/>
            <w:gridSpan w:val="4"/>
          </w:tcPr>
          <w:p>
            <w:pPr>
              <w:jc w:val="right"/>
              <w:ind w:right="32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40" w:type="dxa"/>
            <w:vAlign w:val="bottom"/>
          </w:tcPr>
          <w:p>
            <w:pPr>
              <w:spacing w:after="0"/>
              <w:rPr>
                <w:sz w:val="15"/>
                <w:szCs w:val="15"/>
                <w:color w:val="auto"/>
              </w:rPr>
            </w:pPr>
          </w:p>
        </w:tc>
      </w:tr>
      <w:tr>
        <w:trPr>
          <w:trHeight w:val="22"/>
        </w:trPr>
        <w:tc>
          <w:tcPr>
            <w:tcW w:w="78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r>
        <w:trPr>
          <w:trHeight w:val="181"/>
        </w:trPr>
        <w:tc>
          <w:tcPr>
            <w:tcW w:w="7840" w:type="dxa"/>
            <w:vAlign w:val="bottom"/>
          </w:tcPr>
          <w:p>
            <w:pPr>
              <w:spacing w:after="0"/>
              <w:rPr>
                <w:sz w:val="15"/>
                <w:szCs w:val="15"/>
                <w:color w:val="auto"/>
              </w:rPr>
            </w:pPr>
          </w:p>
        </w:tc>
        <w:tc>
          <w:tcPr>
            <w:tcW w:w="1100" w:type="dxa"/>
            <w:vAlign w:val="bottom"/>
            <w:tcBorders>
              <w:bottom w:val="single" w:sz="8" w:color="auto"/>
            </w:tcBorders>
          </w:tcPr>
          <w:p>
            <w:pPr>
              <w:jc w:val="right"/>
              <w:ind w:right="67"/>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bottom w:val="single" w:sz="8" w:color="auto"/>
            </w:tcBorders>
          </w:tcPr>
          <w:p>
            <w:pPr>
              <w:spacing w:after="0"/>
              <w:rPr>
                <w:sz w:val="15"/>
                <w:szCs w:val="15"/>
                <w:color w:val="auto"/>
              </w:rPr>
            </w:pPr>
          </w:p>
        </w:tc>
      </w:tr>
      <w:tr>
        <w:trPr>
          <w:trHeight w:val="37"/>
        </w:trPr>
        <w:tc>
          <w:tcPr>
            <w:tcW w:w="78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40" w:type="dxa"/>
            <w:vAlign w:val="bottom"/>
          </w:tcPr>
          <w:p>
            <w:pPr>
              <w:spacing w:after="0"/>
              <w:rPr>
                <w:sz w:val="3"/>
                <w:szCs w:val="3"/>
                <w:color w:val="auto"/>
              </w:rPr>
            </w:pPr>
          </w:p>
        </w:tc>
      </w:tr>
      <w:tr>
        <w:trPr>
          <w:trHeight w:val="206"/>
        </w:trPr>
        <w:tc>
          <w:tcPr>
            <w:tcW w:w="78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Operating lease costs</w:t>
            </w:r>
          </w:p>
        </w:tc>
        <w:tc>
          <w:tcPr>
            <w:tcW w:w="1100" w:type="dxa"/>
            <w:vAlign w:val="bottom"/>
            <w:shd w:val="clear" w:color="auto" w:fill="CCEEFF"/>
          </w:tcPr>
          <w:p>
            <w:pPr>
              <w:jc w:val="right"/>
              <w:ind w:right="927"/>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64.4</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946"/>
              <w:spacing w:after="0"/>
              <w:rPr>
                <w:sz w:val="20"/>
                <w:szCs w:val="20"/>
                <w:color w:val="auto"/>
              </w:rPr>
            </w:pPr>
            <w:r>
              <w:rPr>
                <w:rFonts w:ascii="Times New Roman" w:cs="Times New Roman" w:eastAsia="Times New Roman" w:hAnsi="Times New Roman"/>
                <w:sz w:val="15"/>
                <w:szCs w:val="15"/>
                <w:color w:val="auto"/>
                <w:w w:val="7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65.8</w:t>
            </w:r>
          </w:p>
        </w:tc>
      </w:tr>
      <w:tr>
        <w:trPr>
          <w:trHeight w:val="203"/>
        </w:trPr>
        <w:tc>
          <w:tcPr>
            <w:tcW w:w="78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Finance lease costs:</w:t>
            </w:r>
          </w:p>
        </w:tc>
        <w:tc>
          <w:tcPr>
            <w:tcW w:w="1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09"/>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Amortization of leased assets</w:t>
            </w:r>
          </w:p>
        </w:tc>
        <w:tc>
          <w:tcPr>
            <w:tcW w:w="1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81.9</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62.1</w:t>
            </w:r>
          </w:p>
        </w:tc>
      </w:tr>
      <w:tr>
        <w:trPr>
          <w:trHeight w:val="203"/>
        </w:trPr>
        <w:tc>
          <w:tcPr>
            <w:tcW w:w="78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5"/>
                <w:szCs w:val="15"/>
                <w:color w:val="auto"/>
              </w:rPr>
              <w:t>Interest on lease liabilities</w:t>
            </w:r>
          </w:p>
        </w:tc>
        <w:tc>
          <w:tcPr>
            <w:tcW w:w="1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61.8</w:t>
            </w:r>
          </w:p>
        </w:tc>
        <w:tc>
          <w:tcPr>
            <w:tcW w:w="10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61.8</w:t>
            </w:r>
          </w:p>
        </w:tc>
      </w:tr>
      <w:tr>
        <w:trPr>
          <w:trHeight w:val="202"/>
        </w:trPr>
        <w:tc>
          <w:tcPr>
            <w:tcW w:w="78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Total finance lease costs</w:t>
            </w:r>
          </w:p>
        </w:tc>
        <w:tc>
          <w:tcPr>
            <w:tcW w:w="110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143.7</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123.9</w:t>
            </w:r>
          </w:p>
        </w:tc>
      </w:tr>
      <w:tr>
        <w:trPr>
          <w:trHeight w:val="203"/>
        </w:trPr>
        <w:tc>
          <w:tcPr>
            <w:tcW w:w="78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5"/>
                <w:szCs w:val="15"/>
                <w:color w:val="auto"/>
              </w:rPr>
              <w:t>Variable and short-term lease costs</w:t>
            </w:r>
          </w:p>
        </w:tc>
        <w:tc>
          <w:tcPr>
            <w:tcW w:w="1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24.4</w:t>
            </w:r>
          </w:p>
        </w:tc>
        <w:tc>
          <w:tcPr>
            <w:tcW w:w="10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24.5</w:t>
            </w:r>
          </w:p>
        </w:tc>
      </w:tr>
      <w:tr>
        <w:trPr>
          <w:trHeight w:val="227"/>
        </w:trPr>
        <w:tc>
          <w:tcPr>
            <w:tcW w:w="78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Total lease costs</w:t>
            </w:r>
          </w:p>
        </w:tc>
        <w:tc>
          <w:tcPr>
            <w:tcW w:w="1100" w:type="dxa"/>
            <w:vAlign w:val="bottom"/>
            <w:tcBorders>
              <w:bottom w:val="single" w:sz="8" w:color="auto"/>
            </w:tcBorders>
            <w:shd w:val="clear" w:color="auto" w:fill="CCEEFF"/>
          </w:tcPr>
          <w:p>
            <w:pPr>
              <w:jc w:val="right"/>
              <w:ind w:right="927"/>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232.5</w:t>
            </w:r>
          </w:p>
        </w:tc>
        <w:tc>
          <w:tcPr>
            <w:tcW w:w="1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946"/>
              <w:spacing w:after="0"/>
              <w:rPr>
                <w:sz w:val="20"/>
                <w:szCs w:val="20"/>
                <w:color w:val="auto"/>
              </w:rPr>
            </w:pPr>
            <w:r>
              <w:rPr>
                <w:rFonts w:ascii="Times New Roman" w:cs="Times New Roman" w:eastAsia="Times New Roman" w:hAnsi="Times New Roman"/>
                <w:sz w:val="15"/>
                <w:szCs w:val="15"/>
                <w:color w:val="auto"/>
                <w:w w:val="7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214.2</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r>
    </w:tbl>
    <w:p>
      <w:pPr>
        <w:spacing w:after="0" w:line="181" w:lineRule="exact"/>
        <w:rPr>
          <w:sz w:val="20"/>
          <w:szCs w:val="20"/>
          <w:color w:val="auto"/>
        </w:rPr>
      </w:pPr>
    </w:p>
    <w:p>
      <w:pPr>
        <w:jc w:val="both"/>
        <w:ind w:firstLine="309"/>
        <w:spacing w:after="0" w:line="269" w:lineRule="auto"/>
        <w:rPr>
          <w:sz w:val="20"/>
          <w:szCs w:val="20"/>
          <w:color w:val="auto"/>
        </w:rPr>
      </w:pPr>
      <w:r>
        <w:rPr>
          <w:rFonts w:ascii="Times New Roman" w:cs="Times New Roman" w:eastAsia="Times New Roman" w:hAnsi="Times New Roman"/>
          <w:sz w:val="15"/>
          <w:szCs w:val="15"/>
          <w:color w:val="auto"/>
        </w:rPr>
        <w:t>During the years ended December 31, 2025 and 2024, the Company incurred lease costs of $25.1 million and $24.8 million, respectively, under operating lease agreements with physician investors who are related parties. During the years ended December 31, 2025 and 2024, the Company paid rent of $31.3 million and $25.7 million, respectively, under finance lease agreements with physician investors and a lessor who are related parties. One of the Company's surgical facilities has a non-controlling ownership interest in the lessor. Payments are allocated to principal adjustments of the finance lease liability and interest expense.</w:t>
      </w:r>
    </w:p>
    <w:p>
      <w:pPr>
        <w:spacing w:after="0" w:line="6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The following table presents supplemental cash flow information (in millions):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0" w:type="dxa"/>
            <w:vAlign w:val="bottom"/>
            <w:gridSpan w:val="4"/>
          </w:tcPr>
          <w:p>
            <w:pPr>
              <w:jc w:val="right"/>
              <w:ind w:right="864"/>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2"/>
        </w:trPr>
        <w:tc>
          <w:tcPr>
            <w:tcW w:w="7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181"/>
        </w:trPr>
        <w:tc>
          <w:tcPr>
            <w:tcW w:w="78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62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60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7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00" w:type="dxa"/>
            <w:vAlign w:val="bottom"/>
          </w:tcPr>
          <w:p>
            <w:pPr>
              <w:spacing w:after="0"/>
              <w:rPr>
                <w:sz w:val="3"/>
                <w:szCs w:val="3"/>
                <w:color w:val="auto"/>
              </w:rPr>
            </w:pPr>
          </w:p>
        </w:tc>
      </w:tr>
      <w:tr>
        <w:trPr>
          <w:trHeight w:val="206"/>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Cash paid for amounts included in the measurement of lease liabilities:</w:t>
            </w:r>
          </w:p>
        </w:tc>
        <w:tc>
          <w:tcPr>
            <w:tcW w:w="2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203"/>
        </w:trPr>
        <w:tc>
          <w:tcPr>
            <w:tcW w:w="78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Operating cash outflows from operating leases</w:t>
            </w:r>
          </w:p>
        </w:tc>
        <w:tc>
          <w:tcPr>
            <w:tcW w:w="2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4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61.3</w:t>
            </w:r>
          </w:p>
        </w:tc>
        <w:tc>
          <w:tcPr>
            <w:tcW w:w="100" w:type="dxa"/>
            <w:vAlign w:val="bottom"/>
          </w:tcPr>
          <w:p>
            <w:pPr>
              <w:spacing w:after="0"/>
              <w:rPr>
                <w:sz w:val="17"/>
                <w:szCs w:val="17"/>
                <w:color w:val="auto"/>
              </w:rPr>
            </w:pPr>
          </w:p>
        </w:tc>
        <w:tc>
          <w:tcPr>
            <w:tcW w:w="240" w:type="dxa"/>
            <w:vAlign w:val="bottom"/>
          </w:tcPr>
          <w:p>
            <w:pPr>
              <w:jc w:val="right"/>
              <w:ind w:right="83"/>
              <w:spacing w:after="0"/>
              <w:rPr>
                <w:sz w:val="20"/>
                <w:szCs w:val="20"/>
                <w:color w:val="auto"/>
              </w:rPr>
            </w:pPr>
            <w:r>
              <w:rPr>
                <w:rFonts w:ascii="Times New Roman" w:cs="Times New Roman" w:eastAsia="Times New Roman" w:hAnsi="Times New Roman"/>
                <w:sz w:val="15"/>
                <w:szCs w:val="15"/>
                <w:color w:val="auto"/>
                <w:w w:val="7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62.8</w:t>
            </w:r>
          </w:p>
        </w:tc>
      </w:tr>
      <w:tr>
        <w:trPr>
          <w:trHeight w:val="209"/>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Operating cash outflows from finance leases</w:t>
            </w:r>
          </w:p>
        </w:tc>
        <w:tc>
          <w:tcPr>
            <w:tcW w:w="2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4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57.8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w w:val="7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59.1</w:t>
            </w:r>
          </w:p>
        </w:tc>
      </w:tr>
      <w:tr>
        <w:trPr>
          <w:trHeight w:val="203"/>
        </w:trPr>
        <w:tc>
          <w:tcPr>
            <w:tcW w:w="78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Financing cash outflows from finance leases</w:t>
            </w:r>
          </w:p>
        </w:tc>
        <w:tc>
          <w:tcPr>
            <w:tcW w:w="2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4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39.2</w:t>
            </w:r>
          </w:p>
        </w:tc>
        <w:tc>
          <w:tcPr>
            <w:tcW w:w="100" w:type="dxa"/>
            <w:vAlign w:val="bottom"/>
          </w:tcPr>
          <w:p>
            <w:pPr>
              <w:spacing w:after="0"/>
              <w:rPr>
                <w:sz w:val="17"/>
                <w:szCs w:val="17"/>
                <w:color w:val="auto"/>
              </w:rPr>
            </w:pPr>
          </w:p>
        </w:tc>
        <w:tc>
          <w:tcPr>
            <w:tcW w:w="240" w:type="dxa"/>
            <w:vAlign w:val="bottom"/>
          </w:tcPr>
          <w:p>
            <w:pPr>
              <w:jc w:val="right"/>
              <w:ind w:right="83"/>
              <w:spacing w:after="0"/>
              <w:rPr>
                <w:sz w:val="20"/>
                <w:szCs w:val="20"/>
                <w:color w:val="auto"/>
              </w:rPr>
            </w:pPr>
            <w:r>
              <w:rPr>
                <w:rFonts w:ascii="Times New Roman" w:cs="Times New Roman" w:eastAsia="Times New Roman" w:hAnsi="Times New Roman"/>
                <w:sz w:val="15"/>
                <w:szCs w:val="15"/>
                <w:color w:val="auto"/>
                <w:w w:val="7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33.0</w:t>
            </w:r>
          </w:p>
        </w:tc>
      </w:tr>
      <w:tr>
        <w:trPr>
          <w:trHeight w:val="20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Right-of-use assets obtained in exchange for lease obligations:</w:t>
            </w: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03"/>
        </w:trPr>
        <w:tc>
          <w:tcPr>
            <w:tcW w:w="78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Operating leases</w:t>
            </w:r>
          </w:p>
        </w:tc>
        <w:tc>
          <w:tcPr>
            <w:tcW w:w="2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4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61.2</w:t>
            </w:r>
          </w:p>
        </w:tc>
        <w:tc>
          <w:tcPr>
            <w:tcW w:w="100" w:type="dxa"/>
            <w:vAlign w:val="bottom"/>
          </w:tcPr>
          <w:p>
            <w:pPr>
              <w:spacing w:after="0"/>
              <w:rPr>
                <w:sz w:val="17"/>
                <w:szCs w:val="17"/>
                <w:color w:val="auto"/>
              </w:rPr>
            </w:pPr>
          </w:p>
        </w:tc>
        <w:tc>
          <w:tcPr>
            <w:tcW w:w="240" w:type="dxa"/>
            <w:vAlign w:val="bottom"/>
          </w:tcPr>
          <w:p>
            <w:pPr>
              <w:jc w:val="right"/>
              <w:ind w:right="83"/>
              <w:spacing w:after="0"/>
              <w:rPr>
                <w:sz w:val="20"/>
                <w:szCs w:val="20"/>
                <w:color w:val="auto"/>
              </w:rPr>
            </w:pPr>
            <w:r>
              <w:rPr>
                <w:rFonts w:ascii="Times New Roman" w:cs="Times New Roman" w:eastAsia="Times New Roman" w:hAnsi="Times New Roman"/>
                <w:sz w:val="15"/>
                <w:szCs w:val="15"/>
                <w:color w:val="auto"/>
                <w:w w:val="7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132.3</w:t>
            </w:r>
          </w:p>
        </w:tc>
      </w:tr>
      <w:tr>
        <w:trPr>
          <w:trHeight w:val="209"/>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Finance leases</w:t>
            </w:r>
          </w:p>
        </w:tc>
        <w:tc>
          <w:tcPr>
            <w:tcW w:w="2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4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31.5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w w:val="7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89.2</w:t>
            </w:r>
          </w:p>
        </w:tc>
      </w:tr>
      <w:tr>
        <w:trPr>
          <w:trHeight w:val="381"/>
        </w:trPr>
        <w:tc>
          <w:tcPr>
            <w:tcW w:w="784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Future maturities of lease liabilities at December 31, 2025 are presented in the following table (in millions):</w:t>
            </w: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83"/>
        </w:trPr>
        <w:tc>
          <w:tcPr>
            <w:tcW w:w="7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240" w:type="dxa"/>
            <w:vAlign w:val="bottom"/>
          </w:tcPr>
          <w:p>
            <w:pPr>
              <w:spacing w:after="0"/>
              <w:rPr>
                <w:sz w:val="24"/>
                <w:szCs w:val="24"/>
                <w:color w:val="auto"/>
              </w:rPr>
            </w:pPr>
          </w:p>
        </w:tc>
        <w:tc>
          <w:tcPr>
            <w:tcW w:w="1400" w:type="dxa"/>
            <w:vAlign w:val="bottom"/>
          </w:tcPr>
          <w:p>
            <w:pPr>
              <w:jc w:val="right"/>
              <w:ind w:right="304"/>
              <w:spacing w:after="0"/>
              <w:rPr>
                <w:sz w:val="20"/>
                <w:szCs w:val="20"/>
                <w:color w:val="auto"/>
              </w:rPr>
            </w:pPr>
            <w:r>
              <w:rPr>
                <w:rFonts w:ascii="Times New Roman" w:cs="Times New Roman" w:eastAsia="Times New Roman" w:hAnsi="Times New Roman"/>
                <w:sz w:val="14"/>
                <w:szCs w:val="14"/>
                <w:b w:val="1"/>
                <w:bCs w:val="1"/>
                <w:color w:val="auto"/>
              </w:rPr>
              <w:t>Finance Leases</w:t>
            </w:r>
          </w:p>
        </w:tc>
      </w:tr>
      <w:tr>
        <w:trPr>
          <w:trHeight w:val="22"/>
        </w:trPr>
        <w:tc>
          <w:tcPr>
            <w:tcW w:w="7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32"/>
        </w:trPr>
        <w:tc>
          <w:tcPr>
            <w:tcW w:w="7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06"/>
        </w:trPr>
        <w:tc>
          <w:tcPr>
            <w:tcW w:w="78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2026</w:t>
            </w:r>
          </w:p>
        </w:tc>
        <w:tc>
          <w:tcPr>
            <w:tcW w:w="2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4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64.9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w w:val="7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102.5</w:t>
            </w:r>
          </w:p>
        </w:tc>
      </w:tr>
      <w:tr>
        <w:trPr>
          <w:trHeight w:val="203"/>
        </w:trPr>
        <w:tc>
          <w:tcPr>
            <w:tcW w:w="784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2027</w:t>
            </w:r>
          </w:p>
        </w:tc>
        <w:tc>
          <w:tcPr>
            <w:tcW w:w="200" w:type="dxa"/>
            <w:vAlign w:val="bottom"/>
          </w:tcPr>
          <w:p>
            <w:pPr>
              <w:spacing w:after="0"/>
              <w:rPr>
                <w:sz w:val="17"/>
                <w:szCs w:val="17"/>
                <w:color w:val="auto"/>
              </w:rPr>
            </w:pPr>
          </w:p>
        </w:tc>
        <w:tc>
          <w:tcPr>
            <w:tcW w:w="14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56.8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99.3</w:t>
            </w:r>
          </w:p>
        </w:tc>
      </w:tr>
      <w:tr>
        <w:trPr>
          <w:trHeight w:val="209"/>
        </w:trPr>
        <w:tc>
          <w:tcPr>
            <w:tcW w:w="78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2028</w:t>
            </w: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46.9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94.4</w:t>
            </w:r>
          </w:p>
        </w:tc>
      </w:tr>
      <w:tr>
        <w:trPr>
          <w:trHeight w:val="203"/>
        </w:trPr>
        <w:tc>
          <w:tcPr>
            <w:tcW w:w="784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2029</w:t>
            </w:r>
          </w:p>
        </w:tc>
        <w:tc>
          <w:tcPr>
            <w:tcW w:w="200" w:type="dxa"/>
            <w:vAlign w:val="bottom"/>
          </w:tcPr>
          <w:p>
            <w:pPr>
              <w:spacing w:after="0"/>
              <w:rPr>
                <w:sz w:val="17"/>
                <w:szCs w:val="17"/>
                <w:color w:val="auto"/>
              </w:rPr>
            </w:pPr>
          </w:p>
        </w:tc>
        <w:tc>
          <w:tcPr>
            <w:tcW w:w="14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41.1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90.6</w:t>
            </w:r>
          </w:p>
        </w:tc>
      </w:tr>
      <w:tr>
        <w:trPr>
          <w:trHeight w:val="209"/>
        </w:trPr>
        <w:tc>
          <w:tcPr>
            <w:tcW w:w="78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2030</w:t>
            </w: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35.9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87.5</w:t>
            </w:r>
          </w:p>
        </w:tc>
      </w:tr>
      <w:tr>
        <w:trPr>
          <w:trHeight w:val="203"/>
        </w:trPr>
        <w:tc>
          <w:tcPr>
            <w:tcW w:w="78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5"/>
                <w:szCs w:val="15"/>
                <w:color w:val="auto"/>
              </w:rPr>
              <w:t>Thereafter</w:t>
            </w:r>
          </w:p>
        </w:tc>
        <w:tc>
          <w:tcPr>
            <w:tcW w:w="2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226.0</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1,439.8</w:t>
            </w:r>
          </w:p>
        </w:tc>
      </w:tr>
      <w:tr>
        <w:trPr>
          <w:trHeight w:val="202"/>
        </w:trPr>
        <w:tc>
          <w:tcPr>
            <w:tcW w:w="78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Total lease payments</w:t>
            </w:r>
          </w:p>
        </w:tc>
        <w:tc>
          <w:tcPr>
            <w:tcW w:w="200" w:type="dxa"/>
            <w:vAlign w:val="bottom"/>
            <w:shd w:val="clear" w:color="auto" w:fill="CCEEFF"/>
          </w:tcPr>
          <w:p>
            <w:pPr>
              <w:spacing w:after="0"/>
              <w:rPr>
                <w:sz w:val="17"/>
                <w:szCs w:val="17"/>
                <w:color w:val="auto"/>
              </w:rPr>
            </w:pPr>
          </w:p>
        </w:tc>
        <w:tc>
          <w:tcPr>
            <w:tcW w:w="14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471.6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1,914.1</w:t>
            </w:r>
          </w:p>
        </w:tc>
      </w:tr>
      <w:tr>
        <w:trPr>
          <w:trHeight w:val="203"/>
        </w:trPr>
        <w:tc>
          <w:tcPr>
            <w:tcW w:w="78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5"/>
                <w:szCs w:val="15"/>
                <w:color w:val="auto"/>
              </w:rPr>
              <w:t>Less: imputed interest</w:t>
            </w:r>
          </w:p>
        </w:tc>
        <w:tc>
          <w:tcPr>
            <w:tcW w:w="2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(149.0)</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(978.6)</w:t>
            </w:r>
          </w:p>
        </w:tc>
      </w:tr>
      <w:tr>
        <w:trPr>
          <w:trHeight w:val="227"/>
        </w:trPr>
        <w:tc>
          <w:tcPr>
            <w:tcW w:w="78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Total lease obligations</w:t>
            </w:r>
          </w:p>
        </w:tc>
        <w:tc>
          <w:tcPr>
            <w:tcW w:w="20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46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322.6</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935.5</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7</w:t>
      </w:r>
      <w:r>
        <w:rPr>
          <w:rFonts w:ascii="Times New Roman" w:cs="Times New Roman" w:eastAsia="Times New Roman" w:hAnsi="Times New Roman"/>
          <w:sz w:val="15"/>
          <w:szCs w:val="15"/>
          <w:b w:val="1"/>
          <w:bCs w:val="1"/>
          <w:color w:val="auto"/>
        </w:rPr>
        <w:t>. Derivatives and Hedging Activities</w:t>
      </w:r>
    </w:p>
    <w:p>
      <w:pPr>
        <w:spacing w:after="0" w:line="118" w:lineRule="exact"/>
        <w:rPr>
          <w:sz w:val="20"/>
          <w:szCs w:val="20"/>
          <w:color w:val="auto"/>
        </w:rPr>
      </w:pPr>
    </w:p>
    <w:p>
      <w:pPr>
        <w:jc w:val="both"/>
        <w:ind w:firstLine="309"/>
        <w:spacing w:after="0" w:line="270" w:lineRule="auto"/>
        <w:rPr>
          <w:sz w:val="20"/>
          <w:szCs w:val="20"/>
          <w:color w:val="auto"/>
        </w:rPr>
      </w:pPr>
      <w:r>
        <w:rPr>
          <w:rFonts w:ascii="Times New Roman" w:cs="Times New Roman" w:eastAsia="Times New Roman" w:hAnsi="Times New Roman"/>
          <w:sz w:val="15"/>
          <w:szCs w:val="15"/>
          <w:color w:val="auto"/>
        </w:rPr>
        <w:t>The Company’s objectives in using interest rate derivatives are to add stability to interest expense and to manage its exposure to interest rate movements. To accomplish this objective, the Company primarily uses interest rate swaps and interest rate caps as part of its interest rate risk management strategy. During 2025 and 2024, such derivatives have been used to hedge the variable cash flows associated with existing variable-rate debt.</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3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2"/>
          <w:szCs w:val="12"/>
          <w:b w:val="1"/>
          <w:bCs w:val="1"/>
          <w:u w:val="single" w:color="auto"/>
          <w:color w:val="0000FF"/>
        </w:rPr>
        <w:t>Table of Contents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SURGERY PARTNERS, INC.</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The key terms of interest rate swaps and interest rate caps outstanding are presented below:</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0" w:type="dxa"/>
            <w:vAlign w:val="bottom"/>
            <w:gridSpan w:val="4"/>
          </w:tcPr>
          <w:p>
            <w:pPr>
              <w:ind w:left="74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20" w:type="dxa"/>
            <w:vAlign w:val="bottom"/>
          </w:tcPr>
          <w:p>
            <w:pPr>
              <w:spacing w:after="0"/>
              <w:rPr>
                <w:sz w:val="15"/>
                <w:szCs w:val="15"/>
                <w:color w:val="auto"/>
              </w:rPr>
            </w:pPr>
          </w:p>
        </w:tc>
        <w:tc>
          <w:tcPr>
            <w:tcW w:w="1880" w:type="dxa"/>
            <w:vAlign w:val="bottom"/>
            <w:gridSpan w:val="3"/>
          </w:tcPr>
          <w:p>
            <w:pPr>
              <w:ind w:left="740"/>
              <w:spacing w:after="0"/>
              <w:rPr>
                <w:sz w:val="20"/>
                <w:szCs w:val="20"/>
                <w:color w:val="auto"/>
              </w:rPr>
            </w:pPr>
            <w:r>
              <w:rPr>
                <w:rFonts w:ascii="Times New Roman" w:cs="Times New Roman" w:eastAsia="Times New Roman" w:hAnsi="Times New Roman"/>
                <w:sz w:val="14"/>
                <w:szCs w:val="14"/>
                <w:b w:val="1"/>
                <w:bCs w:val="1"/>
                <w:color w:val="auto"/>
                <w:w w:val="98"/>
              </w:rPr>
              <w:t>December 31, 2024</w:t>
            </w: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gridSpan w:val="3"/>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3"/>
        </w:trPr>
        <w:tc>
          <w:tcPr>
            <w:tcW w:w="2120" w:type="dxa"/>
            <w:vAlign w:val="bottom"/>
            <w:gridSpan w:val="2"/>
            <w:vMerge w:val="restart"/>
          </w:tcPr>
          <w:p>
            <w:pPr>
              <w:ind w:left="6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7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Effective Date</w:t>
            </w:r>
          </w:p>
        </w:tc>
        <w:tc>
          <w:tcPr>
            <w:tcW w:w="100" w:type="dxa"/>
            <w:vAlign w:val="bottom"/>
          </w:tcPr>
          <w:p>
            <w:pPr>
              <w:spacing w:after="0"/>
              <w:rPr>
                <w:sz w:val="10"/>
                <w:szCs w:val="10"/>
                <w:color w:val="auto"/>
              </w:rPr>
            </w:pPr>
          </w:p>
        </w:tc>
        <w:tc>
          <w:tcPr>
            <w:tcW w:w="1360" w:type="dxa"/>
            <w:vAlign w:val="bottom"/>
          </w:tcPr>
          <w:p>
            <w:pPr>
              <w:jc w:val="right"/>
              <w:ind w:right="51"/>
              <w:spacing w:after="0" w:line="123" w:lineRule="exact"/>
              <w:rPr>
                <w:sz w:val="20"/>
                <w:szCs w:val="20"/>
                <w:color w:val="auto"/>
              </w:rPr>
            </w:pPr>
            <w:r>
              <w:rPr>
                <w:rFonts w:ascii="Times New Roman" w:cs="Times New Roman" w:eastAsia="Times New Roman" w:hAnsi="Times New Roman"/>
                <w:sz w:val="14"/>
                <w:szCs w:val="14"/>
                <w:b w:val="1"/>
                <w:bCs w:val="1"/>
                <w:color w:val="auto"/>
                <w:w w:val="98"/>
              </w:rPr>
              <w:t>Notional Amount (in</w:t>
            </w:r>
          </w:p>
        </w:tc>
        <w:tc>
          <w:tcPr>
            <w:tcW w:w="100" w:type="dxa"/>
            <w:vAlign w:val="bottom"/>
          </w:tcPr>
          <w:p>
            <w:pPr>
              <w:spacing w:after="0"/>
              <w:rPr>
                <w:sz w:val="10"/>
                <w:szCs w:val="10"/>
                <w:color w:val="auto"/>
              </w:rPr>
            </w:pPr>
          </w:p>
        </w:tc>
        <w:tc>
          <w:tcPr>
            <w:tcW w:w="13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6"/>
              </w:rPr>
              <w:t>Status</w:t>
            </w:r>
          </w:p>
        </w:tc>
        <w:tc>
          <w:tcPr>
            <w:tcW w:w="120" w:type="dxa"/>
            <w:vAlign w:val="bottom"/>
          </w:tcPr>
          <w:p>
            <w:pPr>
              <w:spacing w:after="0"/>
              <w:rPr>
                <w:sz w:val="10"/>
                <w:szCs w:val="10"/>
                <w:color w:val="auto"/>
              </w:rPr>
            </w:pPr>
          </w:p>
        </w:tc>
        <w:tc>
          <w:tcPr>
            <w:tcW w:w="1880" w:type="dxa"/>
            <w:vAlign w:val="bottom"/>
            <w:gridSpan w:val="3"/>
          </w:tcPr>
          <w:p>
            <w:pPr>
              <w:jc w:val="center"/>
              <w:ind w:right="640"/>
              <w:spacing w:after="0" w:line="123" w:lineRule="exact"/>
              <w:rPr>
                <w:sz w:val="20"/>
                <w:szCs w:val="20"/>
                <w:color w:val="auto"/>
              </w:rPr>
            </w:pPr>
            <w:r>
              <w:rPr>
                <w:rFonts w:ascii="Times New Roman" w:cs="Times New Roman" w:eastAsia="Times New Roman" w:hAnsi="Times New Roman"/>
                <w:sz w:val="14"/>
                <w:szCs w:val="14"/>
                <w:b w:val="1"/>
                <w:bCs w:val="1"/>
                <w:color w:val="auto"/>
                <w:w w:val="96"/>
              </w:rPr>
              <w:t>Notional Amount (in</w:t>
            </w:r>
          </w:p>
        </w:tc>
        <w:tc>
          <w:tcPr>
            <w:tcW w:w="9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Status</w:t>
            </w: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Maturity Date</w:t>
            </w:r>
          </w:p>
        </w:tc>
        <w:tc>
          <w:tcPr>
            <w:tcW w:w="0" w:type="dxa"/>
            <w:vAlign w:val="bottom"/>
          </w:tcPr>
          <w:p>
            <w:pPr>
              <w:spacing w:after="0"/>
              <w:rPr>
                <w:sz w:val="1"/>
                <w:szCs w:val="1"/>
                <w:color w:val="auto"/>
              </w:rPr>
            </w:pPr>
          </w:p>
        </w:tc>
      </w:tr>
      <w:tr>
        <w:trPr>
          <w:trHeight w:val="187"/>
        </w:trPr>
        <w:tc>
          <w:tcPr>
            <w:tcW w:w="2120" w:type="dxa"/>
            <w:vAlign w:val="bottom"/>
            <w:gridSpan w:val="2"/>
            <w:vMerge w:val="continue"/>
          </w:tcPr>
          <w:p>
            <w:pPr>
              <w:spacing w:after="0"/>
              <w:rPr>
                <w:sz w:val="16"/>
                <w:szCs w:val="16"/>
                <w:color w:val="auto"/>
              </w:rPr>
            </w:pPr>
          </w:p>
        </w:tc>
        <w:tc>
          <w:tcPr>
            <w:tcW w:w="17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0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880" w:type="dxa"/>
            <w:vAlign w:val="bottom"/>
            <w:gridSpan w:val="3"/>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w w:val="99"/>
              </w:rPr>
              <w:t>millions)</w:t>
            </w:r>
          </w:p>
        </w:tc>
        <w:tc>
          <w:tcPr>
            <w:tcW w:w="920" w:type="dxa"/>
            <w:vAlign w:val="bottom"/>
            <w:gridSpan w:val="2"/>
            <w:vMerge w:val="continue"/>
          </w:tcPr>
          <w:p>
            <w:pPr>
              <w:spacing w:after="0"/>
              <w:rPr>
                <w:sz w:val="16"/>
                <w:szCs w:val="16"/>
                <w:color w:val="auto"/>
              </w:rPr>
            </w:pPr>
          </w:p>
        </w:tc>
        <w:tc>
          <w:tcPr>
            <w:tcW w:w="1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Pay-fixed swap</w:t>
            </w:r>
          </w:p>
        </w:tc>
        <w:tc>
          <w:tcPr>
            <w:tcW w:w="100" w:type="dxa"/>
            <w:vAlign w:val="bottom"/>
            <w:tcBorders>
              <w:top w:val="single" w:sz="8" w:color="CCEEFF"/>
            </w:tcBorders>
            <w:shd w:val="clear" w:color="auto" w:fill="CCEEFF"/>
          </w:tcPr>
          <w:p>
            <w:pPr>
              <w:spacing w:after="0"/>
              <w:rPr>
                <w:sz w:val="16"/>
                <w:szCs w:val="16"/>
                <w:color w:val="auto"/>
              </w:rPr>
            </w:pPr>
          </w:p>
        </w:tc>
        <w:tc>
          <w:tcPr>
            <w:tcW w:w="16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May 7, 2021</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Matured</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435.0</w:t>
            </w:r>
          </w:p>
        </w:tc>
        <w:tc>
          <w:tcPr>
            <w:tcW w:w="8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Active</w:t>
            </w:r>
          </w:p>
        </w:tc>
        <w:tc>
          <w:tcPr>
            <w:tcW w:w="100" w:type="dxa"/>
            <w:vAlign w:val="bottom"/>
            <w:tcBorders>
              <w:top w:val="single" w:sz="8" w:color="CCEEFF"/>
            </w:tcBorders>
            <w:shd w:val="clear" w:color="auto" w:fill="CCEEFF"/>
          </w:tcPr>
          <w:p>
            <w:pPr>
              <w:spacing w:after="0"/>
              <w:rPr>
                <w:sz w:val="16"/>
                <w:szCs w:val="16"/>
                <w:color w:val="auto"/>
              </w:rPr>
            </w:pPr>
          </w:p>
        </w:tc>
        <w:tc>
          <w:tcPr>
            <w:tcW w:w="15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March 31, 2025</w:t>
            </w:r>
          </w:p>
        </w:tc>
        <w:tc>
          <w:tcPr>
            <w:tcW w:w="0" w:type="dxa"/>
            <w:vAlign w:val="bottom"/>
          </w:tcPr>
          <w:p>
            <w:pPr>
              <w:spacing w:after="0"/>
              <w:rPr>
                <w:sz w:val="1"/>
                <w:szCs w:val="1"/>
                <w:color w:val="auto"/>
              </w:rPr>
            </w:pPr>
          </w:p>
        </w:tc>
      </w:tr>
      <w:tr>
        <w:trPr>
          <w:trHeight w:val="186"/>
        </w:trPr>
        <w:tc>
          <w:tcPr>
            <w:tcW w:w="2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Pay-fixed swap</w:t>
            </w:r>
          </w:p>
        </w:tc>
        <w:tc>
          <w:tcPr>
            <w:tcW w:w="1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8"/>
              </w:rPr>
              <w:t>May 7, 2021</w:t>
            </w:r>
          </w:p>
        </w:tc>
        <w:tc>
          <w:tcPr>
            <w:tcW w:w="1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Matured</w:t>
            </w:r>
          </w:p>
        </w:tc>
        <w:tc>
          <w:tcPr>
            <w:tcW w:w="1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330.0</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Active</w:t>
            </w: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March 31, 2025</w:t>
            </w:r>
          </w:p>
        </w:tc>
        <w:tc>
          <w:tcPr>
            <w:tcW w:w="0" w:type="dxa"/>
            <w:vAlign w:val="bottom"/>
          </w:tcPr>
          <w:p>
            <w:pPr>
              <w:spacing w:after="0"/>
              <w:rPr>
                <w:sz w:val="1"/>
                <w:szCs w:val="1"/>
                <w:color w:val="auto"/>
              </w:rPr>
            </w:pPr>
          </w:p>
        </w:tc>
      </w:tr>
      <w:tr>
        <w:trPr>
          <w:trHeight w:val="201"/>
        </w:trPr>
        <w:tc>
          <w:tcPr>
            <w:tcW w:w="2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Pay-fixed swap</w:t>
            </w:r>
          </w:p>
        </w:tc>
        <w:tc>
          <w:tcPr>
            <w:tcW w:w="17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8"/>
              </w:rPr>
              <w:t>May 7, 2021</w:t>
            </w: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Matured</w:t>
            </w: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435.0</w:t>
            </w: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Active</w:t>
            </w: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March 31, 2025</w:t>
            </w:r>
          </w:p>
        </w:tc>
        <w:tc>
          <w:tcPr>
            <w:tcW w:w="0" w:type="dxa"/>
            <w:vAlign w:val="bottom"/>
          </w:tcPr>
          <w:p>
            <w:pPr>
              <w:spacing w:after="0"/>
              <w:rPr>
                <w:sz w:val="1"/>
                <w:szCs w:val="1"/>
                <w:color w:val="auto"/>
              </w:rPr>
            </w:pPr>
          </w:p>
        </w:tc>
      </w:tr>
      <w:tr>
        <w:trPr>
          <w:trHeight w:val="186"/>
        </w:trPr>
        <w:tc>
          <w:tcPr>
            <w:tcW w:w="2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Interest rate cap</w:t>
            </w:r>
          </w:p>
        </w:tc>
        <w:tc>
          <w:tcPr>
            <w:tcW w:w="1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7"/>
              </w:rPr>
              <w:t>September 30, 2021</w:t>
            </w:r>
          </w:p>
        </w:tc>
        <w:tc>
          <w:tcPr>
            <w:tcW w:w="1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Matured</w:t>
            </w:r>
          </w:p>
        </w:tc>
        <w:tc>
          <w:tcPr>
            <w:tcW w:w="1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143.6</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Active</w:t>
            </w: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March 31, 2025</w:t>
            </w:r>
          </w:p>
        </w:tc>
        <w:tc>
          <w:tcPr>
            <w:tcW w:w="0" w:type="dxa"/>
            <w:vAlign w:val="bottom"/>
          </w:tcPr>
          <w:p>
            <w:pPr>
              <w:spacing w:after="0"/>
              <w:rPr>
                <w:sz w:val="1"/>
                <w:szCs w:val="1"/>
                <w:color w:val="auto"/>
              </w:rPr>
            </w:pPr>
          </w:p>
        </w:tc>
      </w:tr>
      <w:tr>
        <w:trPr>
          <w:trHeight w:val="201"/>
        </w:trPr>
        <w:tc>
          <w:tcPr>
            <w:tcW w:w="2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rate cap</w:t>
            </w:r>
          </w:p>
        </w:tc>
        <w:tc>
          <w:tcPr>
            <w:tcW w:w="17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7"/>
              </w:rPr>
              <w:t>September 30, 2021</w:t>
            </w: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Matured</w:t>
            </w: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Active</w:t>
            </w: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March 31, 2025</w:t>
            </w:r>
          </w:p>
        </w:tc>
        <w:tc>
          <w:tcPr>
            <w:tcW w:w="0" w:type="dxa"/>
            <w:vAlign w:val="bottom"/>
          </w:tcPr>
          <w:p>
            <w:pPr>
              <w:spacing w:after="0"/>
              <w:rPr>
                <w:sz w:val="1"/>
                <w:szCs w:val="1"/>
                <w:color w:val="auto"/>
              </w:rPr>
            </w:pPr>
          </w:p>
        </w:tc>
      </w:tr>
      <w:tr>
        <w:trPr>
          <w:trHeight w:val="186"/>
        </w:trPr>
        <w:tc>
          <w:tcPr>
            <w:tcW w:w="2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Deferred premium cap</w:t>
            </w:r>
          </w:p>
        </w:tc>
        <w:tc>
          <w:tcPr>
            <w:tcW w:w="1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6"/>
              </w:rPr>
              <w:t>March 31, 2025</w:t>
            </w:r>
          </w:p>
        </w:tc>
        <w:tc>
          <w:tcPr>
            <w:tcW w:w="1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393.0</w:t>
            </w:r>
          </w:p>
        </w:tc>
        <w:tc>
          <w:tcPr>
            <w:tcW w:w="100" w:type="dxa"/>
            <w:vAlign w:val="bottom"/>
          </w:tcPr>
          <w:p>
            <w:pPr>
              <w:spacing w:after="0"/>
              <w:rPr>
                <w:sz w:val="16"/>
                <w:szCs w:val="16"/>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6"/>
              </w:rPr>
              <w:t>Active</w:t>
            </w:r>
          </w:p>
        </w:tc>
        <w:tc>
          <w:tcPr>
            <w:tcW w:w="1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396.0</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Active</w:t>
            </w: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December 31, 2028</w:t>
            </w:r>
          </w:p>
        </w:tc>
        <w:tc>
          <w:tcPr>
            <w:tcW w:w="0" w:type="dxa"/>
            <w:vAlign w:val="bottom"/>
          </w:tcPr>
          <w:p>
            <w:pPr>
              <w:spacing w:after="0"/>
              <w:rPr>
                <w:sz w:val="1"/>
                <w:szCs w:val="1"/>
                <w:color w:val="auto"/>
              </w:rPr>
            </w:pPr>
          </w:p>
        </w:tc>
      </w:tr>
      <w:tr>
        <w:trPr>
          <w:trHeight w:val="201"/>
        </w:trPr>
        <w:tc>
          <w:tcPr>
            <w:tcW w:w="2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premium cap</w:t>
            </w:r>
          </w:p>
        </w:tc>
        <w:tc>
          <w:tcPr>
            <w:tcW w:w="17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6"/>
              </w:rPr>
              <w:t>March 31, 2025</w:t>
            </w: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196.5</w:t>
            </w:r>
          </w:p>
        </w:tc>
        <w:tc>
          <w:tcPr>
            <w:tcW w:w="1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6"/>
              </w:rPr>
              <w:t>Active</w:t>
            </w: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198.0</w:t>
            </w: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Active</w:t>
            </w: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December 31, 2028</w:t>
            </w:r>
          </w:p>
        </w:tc>
        <w:tc>
          <w:tcPr>
            <w:tcW w:w="0" w:type="dxa"/>
            <w:vAlign w:val="bottom"/>
          </w:tcPr>
          <w:p>
            <w:pPr>
              <w:spacing w:after="0"/>
              <w:rPr>
                <w:sz w:val="1"/>
                <w:szCs w:val="1"/>
                <w:color w:val="auto"/>
              </w:rPr>
            </w:pPr>
          </w:p>
        </w:tc>
      </w:tr>
      <w:tr>
        <w:trPr>
          <w:trHeight w:val="186"/>
        </w:trPr>
        <w:tc>
          <w:tcPr>
            <w:tcW w:w="2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Deferred premium cap</w:t>
            </w:r>
          </w:p>
        </w:tc>
        <w:tc>
          <w:tcPr>
            <w:tcW w:w="1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6"/>
              </w:rPr>
              <w:t>March 31, 2025</w:t>
            </w:r>
          </w:p>
        </w:tc>
        <w:tc>
          <w:tcPr>
            <w:tcW w:w="1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393.0</w:t>
            </w:r>
          </w:p>
        </w:tc>
        <w:tc>
          <w:tcPr>
            <w:tcW w:w="100" w:type="dxa"/>
            <w:vAlign w:val="bottom"/>
          </w:tcPr>
          <w:p>
            <w:pPr>
              <w:spacing w:after="0"/>
              <w:rPr>
                <w:sz w:val="16"/>
                <w:szCs w:val="16"/>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6"/>
              </w:rPr>
              <w:t>Active</w:t>
            </w:r>
          </w:p>
        </w:tc>
        <w:tc>
          <w:tcPr>
            <w:tcW w:w="1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396.0</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Active</w:t>
            </w: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December 31, 2028</w:t>
            </w:r>
          </w:p>
        </w:tc>
        <w:tc>
          <w:tcPr>
            <w:tcW w:w="0" w:type="dxa"/>
            <w:vAlign w:val="bottom"/>
          </w:tcPr>
          <w:p>
            <w:pPr>
              <w:spacing w:after="0"/>
              <w:rPr>
                <w:sz w:val="1"/>
                <w:szCs w:val="1"/>
                <w:color w:val="auto"/>
              </w:rPr>
            </w:pPr>
          </w:p>
        </w:tc>
      </w:tr>
      <w:tr>
        <w:trPr>
          <w:trHeight w:val="201"/>
        </w:trPr>
        <w:tc>
          <w:tcPr>
            <w:tcW w:w="2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premium cap</w:t>
            </w:r>
          </w:p>
        </w:tc>
        <w:tc>
          <w:tcPr>
            <w:tcW w:w="17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6"/>
              </w:rPr>
              <w:t>March 31, 2025</w:t>
            </w: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196.5</w:t>
            </w:r>
          </w:p>
        </w:tc>
        <w:tc>
          <w:tcPr>
            <w:tcW w:w="1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6"/>
              </w:rPr>
              <w:t>Active</w:t>
            </w: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198.0</w:t>
            </w: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Active</w:t>
            </w: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December 31, 2028</w:t>
            </w:r>
          </w:p>
        </w:tc>
        <w:tc>
          <w:tcPr>
            <w:tcW w:w="0" w:type="dxa"/>
            <w:vAlign w:val="bottom"/>
          </w:tcPr>
          <w:p>
            <w:pPr>
              <w:spacing w:after="0"/>
              <w:rPr>
                <w:sz w:val="1"/>
                <w:szCs w:val="1"/>
                <w:color w:val="auto"/>
              </w:rPr>
            </w:pPr>
          </w:p>
        </w:tc>
      </w:tr>
      <w:tr>
        <w:trPr>
          <w:trHeight w:val="186"/>
        </w:trPr>
        <w:tc>
          <w:tcPr>
            <w:tcW w:w="21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Deferred premium cap</w:t>
            </w:r>
          </w:p>
        </w:tc>
        <w:tc>
          <w:tcPr>
            <w:tcW w:w="1760" w:type="dxa"/>
            <w:vAlign w:val="bottom"/>
            <w:tcBorders>
              <w:bottom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6"/>
              </w:rPr>
              <w:t>March 31, 2025</w:t>
            </w: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196.5</w:t>
            </w:r>
          </w:p>
        </w:tc>
        <w:tc>
          <w:tcPr>
            <w:tcW w:w="100" w:type="dxa"/>
            <w:vAlign w:val="bottom"/>
            <w:tcBorders>
              <w:bottom w:val="single" w:sz="8" w:color="CCEEFF"/>
            </w:tcBorders>
          </w:tcPr>
          <w:p>
            <w:pPr>
              <w:spacing w:after="0"/>
              <w:rPr>
                <w:sz w:val="16"/>
                <w:szCs w:val="16"/>
                <w:color w:val="auto"/>
              </w:rPr>
            </w:pPr>
          </w:p>
        </w:tc>
        <w:tc>
          <w:tcPr>
            <w:tcW w:w="1340" w:type="dxa"/>
            <w:vAlign w:val="bottom"/>
            <w:tcBorders>
              <w:bottom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6"/>
              </w:rPr>
              <w:t>Active</w:t>
            </w: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198.0</w:t>
            </w:r>
          </w:p>
        </w:tc>
        <w:tc>
          <w:tcPr>
            <w:tcW w:w="80" w:type="dxa"/>
            <w:vAlign w:val="bottom"/>
            <w:tcBorders>
              <w:bottom w:val="single" w:sz="8" w:color="CCEEFF"/>
            </w:tcBorders>
          </w:tcPr>
          <w:p>
            <w:pPr>
              <w:spacing w:after="0"/>
              <w:rPr>
                <w:sz w:val="16"/>
                <w:szCs w:val="16"/>
                <w:color w:val="auto"/>
              </w:rPr>
            </w:pPr>
          </w:p>
        </w:tc>
        <w:tc>
          <w:tcPr>
            <w:tcW w:w="440" w:type="dxa"/>
            <w:vAlign w:val="bottom"/>
            <w:tcBorders>
              <w:bottom w:val="single" w:sz="8" w:color="CCEEFF"/>
            </w:tcBorders>
          </w:tcPr>
          <w:p>
            <w:pPr>
              <w:spacing w:after="0"/>
              <w:rPr>
                <w:sz w:val="16"/>
                <w:szCs w:val="16"/>
                <w:color w:val="auto"/>
              </w:rPr>
            </w:pPr>
          </w:p>
        </w:tc>
        <w:tc>
          <w:tcPr>
            <w:tcW w:w="9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Active</w:t>
            </w:r>
          </w:p>
        </w:tc>
        <w:tc>
          <w:tcPr>
            <w:tcW w:w="15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w w:val="98"/>
              </w:rPr>
              <w:t>December 31, 2028</w:t>
            </w:r>
          </w:p>
        </w:tc>
        <w:tc>
          <w:tcPr>
            <w:tcW w:w="0" w:type="dxa"/>
            <w:vAlign w:val="bottom"/>
          </w:tcPr>
          <w:p>
            <w:pPr>
              <w:spacing w:after="0"/>
              <w:rPr>
                <w:sz w:val="1"/>
                <w:szCs w:val="1"/>
                <w:color w:val="auto"/>
              </w:rPr>
            </w:pPr>
          </w:p>
        </w:tc>
      </w:tr>
      <w:tr>
        <w:trPr>
          <w:trHeight w:val="211"/>
        </w:trPr>
        <w:tc>
          <w:tcPr>
            <w:tcW w:w="20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1,375.5</w:t>
            </w:r>
          </w:p>
        </w:tc>
        <w:tc>
          <w:tcPr>
            <w:tcW w:w="10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2,737.8</w:t>
            </w:r>
          </w:p>
        </w:tc>
        <w:tc>
          <w:tcPr>
            <w:tcW w:w="8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7" w:lineRule="exact"/>
        <w:rPr>
          <w:sz w:val="20"/>
          <w:szCs w:val="20"/>
          <w:color w:val="auto"/>
        </w:rPr>
      </w:pPr>
    </w:p>
    <w:p>
      <w:pPr>
        <w:jc w:val="both"/>
        <w:ind w:firstLine="309"/>
        <w:spacing w:after="0" w:line="289" w:lineRule="auto"/>
        <w:rPr>
          <w:sz w:val="20"/>
          <w:szCs w:val="20"/>
          <w:color w:val="auto"/>
        </w:rPr>
      </w:pPr>
      <w:r>
        <w:rPr>
          <w:rFonts w:ascii="Times New Roman" w:cs="Times New Roman" w:eastAsia="Times New Roman" w:hAnsi="Times New Roman"/>
          <w:sz w:val="15"/>
          <w:szCs w:val="15"/>
          <w:color w:val="auto"/>
        </w:rPr>
        <w:t>The Company had three interest rate swaps designated in cash flow hedging relationships, which matured on March 31, 2025. Prior to maturity, the interest rate swaps had a total notional amount of $1.2 billion and were pay-fixed, received 1-Month SOFR (subject to a minimum of 0.75%).</w:t>
      </w:r>
    </w:p>
    <w:p>
      <w:pPr>
        <w:spacing w:after="0" w:line="62" w:lineRule="exact"/>
        <w:rPr>
          <w:sz w:val="20"/>
          <w:szCs w:val="20"/>
          <w:color w:val="auto"/>
        </w:rPr>
      </w:pPr>
    </w:p>
    <w:p>
      <w:pPr>
        <w:jc w:val="both"/>
        <w:ind w:firstLine="309"/>
        <w:spacing w:after="0" w:line="289" w:lineRule="auto"/>
        <w:rPr>
          <w:sz w:val="20"/>
          <w:szCs w:val="20"/>
          <w:color w:val="auto"/>
        </w:rPr>
      </w:pPr>
      <w:r>
        <w:rPr>
          <w:rFonts w:ascii="Times New Roman" w:cs="Times New Roman" w:eastAsia="Times New Roman" w:hAnsi="Times New Roman"/>
          <w:sz w:val="15"/>
          <w:szCs w:val="15"/>
          <w:color w:val="auto"/>
        </w:rPr>
        <w:t>The Company had two interest rate caps designated in cash flow hedging relationships, which matured on March 31, 2025. Prior to maturity, the interest caps had a total notional amount of $151.8 million.</w:t>
      </w:r>
    </w:p>
    <w:p>
      <w:pPr>
        <w:spacing w:after="0" w:line="62" w:lineRule="exact"/>
        <w:rPr>
          <w:sz w:val="20"/>
          <w:szCs w:val="20"/>
          <w:color w:val="auto"/>
        </w:rPr>
      </w:pPr>
    </w:p>
    <w:p>
      <w:pPr>
        <w:jc w:val="both"/>
        <w:ind w:firstLine="309"/>
        <w:spacing w:after="0" w:line="270" w:lineRule="auto"/>
        <w:rPr>
          <w:sz w:val="20"/>
          <w:szCs w:val="20"/>
          <w:color w:val="auto"/>
        </w:rPr>
      </w:pPr>
      <w:r>
        <w:rPr>
          <w:rFonts w:ascii="Times New Roman" w:cs="Times New Roman" w:eastAsia="Times New Roman" w:hAnsi="Times New Roman"/>
          <w:sz w:val="15"/>
          <w:szCs w:val="15"/>
          <w:color w:val="auto"/>
        </w:rPr>
        <w:t>Effective March 31, 2025, the Company had five deferred premium interest rate cap agreements. The deferred premium interest rate caps are designated in cash flow hedging relationships with a total notional amount of $1.4 billion. These financial instruments are designed to limit the Company's interest rate exposure on its term loan concurrent with the positions that matured on March 31, 2025.</w:t>
      </w:r>
    </w:p>
    <w:p>
      <w:pPr>
        <w:spacing w:after="0" w:line="75" w:lineRule="exact"/>
        <w:rPr>
          <w:sz w:val="20"/>
          <w:szCs w:val="20"/>
          <w:color w:val="auto"/>
        </w:rPr>
      </w:pPr>
    </w:p>
    <w:p>
      <w:pPr>
        <w:jc w:val="both"/>
        <w:ind w:firstLine="309"/>
        <w:spacing w:after="0" w:line="265" w:lineRule="auto"/>
        <w:rPr>
          <w:sz w:val="20"/>
          <w:szCs w:val="20"/>
          <w:color w:val="auto"/>
        </w:rPr>
      </w:pPr>
      <w:r>
        <w:rPr>
          <w:rFonts w:ascii="Times New Roman" w:cs="Times New Roman" w:eastAsia="Times New Roman" w:hAnsi="Times New Roman"/>
          <w:sz w:val="15"/>
          <w:szCs w:val="15"/>
          <w:color w:val="auto"/>
        </w:rPr>
        <w:t>Prior to maturity, the pay-fixed, receive floating interest rate swaps did not meet the requirements to be considered derivatives in their entirety as a result of the financing component. Accordingly, the swaps were considered hybrid instruments, consisting of a financing element treated as a debt instrument and an embedded at-market derivative that was designated as a cash flow hedge. Within the Company’s consolidated balance sheets, the financing elements treated as debt instruments were carried at amortized cost and the embedded at-market derivatives were recorded at fair value. The fair value was determined using pricing models that rely on market observable inputs such as yield curve data, which are classified as Level 2 inputs within the fair value hierarchy. The cash flows related to the portion treated as debt are classified as financing activities in the consolidated statements of cash flows while the portions that were treated as an at-market derivative are classified as operating activities.</w:t>
      </w:r>
    </w:p>
    <w:p>
      <w:pPr>
        <w:spacing w:after="0" w:line="69" w:lineRule="exact"/>
        <w:rPr>
          <w:sz w:val="20"/>
          <w:szCs w:val="20"/>
          <w:color w:val="auto"/>
        </w:rPr>
      </w:pPr>
    </w:p>
    <w:p>
      <w:pPr>
        <w:jc w:val="both"/>
        <w:ind w:firstLine="309"/>
        <w:spacing w:after="0" w:line="269" w:lineRule="auto"/>
        <w:rPr>
          <w:sz w:val="20"/>
          <w:szCs w:val="20"/>
          <w:color w:val="auto"/>
        </w:rPr>
      </w:pPr>
      <w:r>
        <w:rPr>
          <w:rFonts w:ascii="Times New Roman" w:cs="Times New Roman" w:eastAsia="Times New Roman" w:hAnsi="Times New Roman"/>
          <w:sz w:val="15"/>
          <w:szCs w:val="15"/>
          <w:color w:val="auto"/>
        </w:rPr>
        <w:t>Within the Company’s consolidated balance sheets, the interest rate caps are recorded at fair value. The cash flows related to the interest rate caps are classified as operating activities in the consolidated statements of cash flows. The fair value of the interest rate caps is determined using the market standard methodology of discounting the future expected cash receipts that would occur if variable interest rates rise above the strike rate of the caps. The variable interest rates used in the calculation of projected receipts on the caps are based on an expectation of future interest rates derived from observable market interest rate curves and volatilities. The interest rate caps are classified using Level 2 inputs within the fair value hierarchy.</w:t>
      </w:r>
    </w:p>
    <w:p>
      <w:pPr>
        <w:spacing w:after="0" w:line="65" w:lineRule="exact"/>
        <w:rPr>
          <w:sz w:val="20"/>
          <w:szCs w:val="20"/>
          <w:color w:val="auto"/>
        </w:rPr>
      </w:pPr>
    </w:p>
    <w:p>
      <w:pPr>
        <w:jc w:val="both"/>
        <w:ind w:firstLine="309"/>
        <w:spacing w:after="0" w:line="269" w:lineRule="auto"/>
        <w:rPr>
          <w:sz w:val="20"/>
          <w:szCs w:val="20"/>
          <w:color w:val="auto"/>
        </w:rPr>
      </w:pPr>
      <w:r>
        <w:rPr>
          <w:rFonts w:ascii="Times New Roman" w:cs="Times New Roman" w:eastAsia="Times New Roman" w:hAnsi="Times New Roman"/>
          <w:sz w:val="15"/>
          <w:szCs w:val="15"/>
          <w:color w:val="auto"/>
        </w:rPr>
        <w:t>For derivatives designated and that qualify as cash flow hedges of interest rate risk, the gain or loss on the derivative is recorded in accumulated other comprehensive income ("OCI") and subsequently reclassified into interest expense in the same period(s) during which the hedged transaction affects earnings, as documented at hedge inception in accordance with the Company’s accounting policy election. Amounts reported in accumulated OCI related to derivatives will be reclassified to interest expense as interest payments are made on the Company’s variable-rate debt. Over the next 12 months, the Company estimates that an additional $5.5 million will be reclassified as an increase to interest expense.</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3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2"/>
          <w:szCs w:val="12"/>
          <w:b w:val="1"/>
          <w:bCs w:val="1"/>
          <w:u w:val="single" w:color="auto"/>
          <w:color w:val="0000FF"/>
        </w:rPr>
        <w:t>Table of Contents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SURGERY PARTNERS, INC.</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The following table presents the fair values of our derivatives and their location on the consolidated balance sheets (in millions):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560" w:type="dxa"/>
            <w:vAlign w:val="bottom"/>
          </w:tcPr>
          <w:p>
            <w:pPr>
              <w:spacing w:after="0"/>
              <w:rPr>
                <w:sz w:val="15"/>
                <w:szCs w:val="15"/>
                <w:color w:val="auto"/>
              </w:rPr>
            </w:pPr>
          </w:p>
        </w:tc>
        <w:tc>
          <w:tcPr>
            <w:tcW w:w="2460" w:type="dxa"/>
            <w:vAlign w:val="bottom"/>
            <w:gridSpan w:val="4"/>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500" w:type="dxa"/>
            <w:vAlign w:val="bottom"/>
            <w:gridSpan w:val="4"/>
          </w:tcPr>
          <w:p>
            <w:pPr>
              <w:jc w:val="right"/>
              <w:ind w:right="771"/>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2"/>
        </w:trPr>
        <w:tc>
          <w:tcPr>
            <w:tcW w:w="55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81"/>
        </w:trPr>
        <w:tc>
          <w:tcPr>
            <w:tcW w:w="5560" w:type="dxa"/>
            <w:vAlign w:val="bottom"/>
          </w:tcPr>
          <w:p>
            <w:pPr>
              <w:spacing w:after="0"/>
              <w:rPr>
                <w:sz w:val="15"/>
                <w:szCs w:val="15"/>
                <w:color w:val="auto"/>
              </w:rPr>
            </w:pPr>
          </w:p>
        </w:tc>
        <w:tc>
          <w:tcPr>
            <w:tcW w:w="1000" w:type="dxa"/>
            <w:vAlign w:val="bottom"/>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20" w:type="dxa"/>
            <w:vAlign w:val="bottom"/>
          </w:tcPr>
          <w:p>
            <w:pPr>
              <w:spacing w:after="0"/>
              <w:rPr>
                <w:sz w:val="15"/>
                <w:szCs w:val="15"/>
                <w:color w:val="auto"/>
              </w:rPr>
            </w:pPr>
          </w:p>
        </w:tc>
        <w:tc>
          <w:tcPr>
            <w:tcW w:w="1120" w:type="dxa"/>
            <w:vAlign w:val="bottom"/>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Liabilities</w:t>
            </w:r>
          </w:p>
        </w:tc>
      </w:tr>
      <w:tr>
        <w:trPr>
          <w:trHeight w:val="179"/>
        </w:trPr>
        <w:tc>
          <w:tcPr>
            <w:tcW w:w="5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Derivatives in cash flow hedging relationships</w:t>
            </w:r>
          </w:p>
        </w:tc>
        <w:tc>
          <w:tcPr>
            <w:tcW w:w="100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r>
      <w:tr>
        <w:trPr>
          <w:trHeight w:val="186"/>
        </w:trPr>
        <w:tc>
          <w:tcPr>
            <w:tcW w:w="5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xml:space="preserve">Interest rate caps </w:t>
            </w:r>
            <w:r>
              <w:rPr>
                <w:rFonts w:ascii="Times New Roman" w:cs="Times New Roman" w:eastAsia="Times New Roman" w:hAnsi="Times New Roman"/>
                <w:sz w:val="8"/>
                <w:szCs w:val="8"/>
                <w:color w:val="auto"/>
              </w:rPr>
              <w:t>(1)</w:t>
            </w:r>
          </w:p>
        </w:tc>
        <w:tc>
          <w:tcPr>
            <w:tcW w:w="1000" w:type="dxa"/>
            <w:vAlign w:val="bottom"/>
          </w:tcPr>
          <w:p>
            <w:pPr>
              <w:jc w:val="right"/>
              <w:ind w:right="851"/>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871"/>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jc w:val="right"/>
              <w:ind w:right="131"/>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6"/>
                <w:szCs w:val="16"/>
                <w:color w:val="auto"/>
              </w:rPr>
            </w:pPr>
          </w:p>
        </w:tc>
        <w:tc>
          <w:tcPr>
            <w:tcW w:w="22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1"/>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Interest rate swaps </w:t>
            </w:r>
            <w:r>
              <w:rPr>
                <w:rFonts w:ascii="Times New Roman" w:cs="Times New Roman" w:eastAsia="Times New Roman" w:hAnsi="Times New Roman"/>
                <w:sz w:val="8"/>
                <w:szCs w:val="8"/>
                <w:color w:val="auto"/>
              </w:rPr>
              <w:t>(1)</w:t>
            </w:r>
          </w:p>
        </w:tc>
        <w:tc>
          <w:tcPr>
            <w:tcW w:w="1000" w:type="dxa"/>
            <w:vAlign w:val="bottom"/>
            <w:shd w:val="clear" w:color="auto" w:fill="CCEEFF"/>
          </w:tcPr>
          <w:p>
            <w:pPr>
              <w:spacing w:after="0"/>
              <w:rPr>
                <w:sz w:val="17"/>
                <w:szCs w:val="17"/>
                <w:color w:val="auto"/>
              </w:rPr>
            </w:pPr>
          </w:p>
        </w:tc>
        <w:tc>
          <w:tcPr>
            <w:tcW w:w="4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6"/>
        </w:trPr>
        <w:tc>
          <w:tcPr>
            <w:tcW w:w="5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xml:space="preserve">Interest rate caps </w:t>
            </w:r>
            <w:r>
              <w:rPr>
                <w:rFonts w:ascii="Times New Roman" w:cs="Times New Roman" w:eastAsia="Times New Roman" w:hAnsi="Times New Roman"/>
                <w:sz w:val="8"/>
                <w:szCs w:val="8"/>
                <w:color w:val="auto"/>
              </w:rPr>
              <w:t>(2)</w:t>
            </w:r>
          </w:p>
        </w:tc>
        <w:tc>
          <w:tcPr>
            <w:tcW w:w="1000" w:type="dxa"/>
            <w:vAlign w:val="bottom"/>
          </w:tcPr>
          <w:p>
            <w:pPr>
              <w:spacing w:after="0"/>
              <w:rPr>
                <w:sz w:val="16"/>
                <w:szCs w:val="16"/>
                <w:color w:val="auto"/>
              </w:rPr>
            </w:pPr>
          </w:p>
        </w:tc>
        <w:tc>
          <w:tcPr>
            <w:tcW w:w="4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w:t>
            </w:r>
          </w:p>
        </w:tc>
      </w:tr>
      <w:tr>
        <w:trPr>
          <w:trHeight w:val="201"/>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Interest rate swaps </w:t>
            </w:r>
            <w:r>
              <w:rPr>
                <w:rFonts w:ascii="Times New Roman" w:cs="Times New Roman" w:eastAsia="Times New Roman" w:hAnsi="Times New Roman"/>
                <w:sz w:val="8"/>
                <w:szCs w:val="8"/>
                <w:color w:val="auto"/>
              </w:rPr>
              <w:t>(3) (4)</w:t>
            </w:r>
          </w:p>
        </w:tc>
        <w:tc>
          <w:tcPr>
            <w:tcW w:w="1000" w:type="dxa"/>
            <w:vAlign w:val="bottom"/>
            <w:shd w:val="clear" w:color="auto" w:fill="CCEEFF"/>
          </w:tcPr>
          <w:p>
            <w:pPr>
              <w:spacing w:after="0"/>
              <w:rPr>
                <w:sz w:val="17"/>
                <w:szCs w:val="17"/>
                <w:color w:val="auto"/>
              </w:rPr>
            </w:pPr>
          </w:p>
        </w:tc>
        <w:tc>
          <w:tcPr>
            <w:tcW w:w="4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r>
      <w:tr>
        <w:trPr>
          <w:trHeight w:val="186"/>
        </w:trPr>
        <w:tc>
          <w:tcPr>
            <w:tcW w:w="55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Total</w:t>
            </w:r>
          </w:p>
        </w:tc>
        <w:tc>
          <w:tcPr>
            <w:tcW w:w="1000" w:type="dxa"/>
            <w:vAlign w:val="bottom"/>
            <w:tcBorders>
              <w:top w:val="single" w:sz="8" w:color="auto"/>
              <w:bottom w:val="single" w:sz="8" w:color="auto"/>
            </w:tcBorders>
          </w:tcPr>
          <w:p>
            <w:pPr>
              <w:jc w:val="right"/>
              <w:ind w:right="851"/>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20" w:type="dxa"/>
            <w:vAlign w:val="bottom"/>
            <w:tcBorders>
              <w:top w:val="single" w:sz="8" w:color="auto"/>
              <w:bottom w:val="single" w:sz="8" w:color="auto"/>
            </w:tcBorders>
          </w:tcPr>
          <w:p>
            <w:pPr>
              <w:jc w:val="right"/>
              <w:ind w:right="871"/>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80" w:type="dxa"/>
            <w:vAlign w:val="bottom"/>
          </w:tcPr>
          <w:p>
            <w:pPr>
              <w:spacing w:after="0"/>
              <w:rPr>
                <w:sz w:val="16"/>
                <w:szCs w:val="16"/>
                <w:color w:val="auto"/>
              </w:rPr>
            </w:pPr>
          </w:p>
        </w:tc>
        <w:tc>
          <w:tcPr>
            <w:tcW w:w="300" w:type="dxa"/>
            <w:vAlign w:val="bottom"/>
            <w:tcBorders>
              <w:top w:val="single" w:sz="8" w:color="auto"/>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w:t>
            </w:r>
          </w:p>
        </w:tc>
      </w:tr>
      <w:tr>
        <w:trPr>
          <w:trHeight w:val="20"/>
        </w:trPr>
        <w:tc>
          <w:tcPr>
            <w:tcW w:w="55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ind w:left="240" w:hanging="237"/>
        <w:spacing w:after="0"/>
        <w:tabs>
          <w:tab w:leader="none" w:pos="240" w:val="left"/>
        </w:tabs>
        <w:numPr>
          <w:ilvl w:val="0"/>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Amounts were included in other current assets on the consolidated balance sheets as of December 31, 2024.</w:t>
      </w:r>
    </w:p>
    <w:p>
      <w:pPr>
        <w:spacing w:after="0" w:line="55" w:lineRule="exact"/>
        <w:rPr>
          <w:rFonts w:ascii="Times New Roman" w:cs="Times New Roman" w:eastAsia="Times New Roman" w:hAnsi="Times New Roman"/>
          <w:sz w:val="12"/>
          <w:szCs w:val="12"/>
          <w:color w:val="auto"/>
        </w:rPr>
      </w:pPr>
    </w:p>
    <w:p>
      <w:pPr>
        <w:ind w:left="240" w:hanging="237"/>
        <w:spacing w:after="0"/>
        <w:tabs>
          <w:tab w:leader="none" w:pos="240" w:val="left"/>
        </w:tabs>
        <w:numPr>
          <w:ilvl w:val="0"/>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Amounts were included in other long-term liabilities on the consolidated balance sheets as of December 31, 2025 and December 31, 2024.</w:t>
      </w:r>
    </w:p>
    <w:p>
      <w:pPr>
        <w:spacing w:after="0" w:line="55" w:lineRule="exact"/>
        <w:rPr>
          <w:rFonts w:ascii="Times New Roman" w:cs="Times New Roman" w:eastAsia="Times New Roman" w:hAnsi="Times New Roman"/>
          <w:sz w:val="12"/>
          <w:szCs w:val="12"/>
          <w:color w:val="auto"/>
        </w:rPr>
      </w:pPr>
    </w:p>
    <w:p>
      <w:pPr>
        <w:ind w:left="240" w:hanging="237"/>
        <w:spacing w:after="0"/>
        <w:tabs>
          <w:tab w:leader="none" w:pos="240" w:val="left"/>
        </w:tabs>
        <w:numPr>
          <w:ilvl w:val="0"/>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Amounts were included in other current liabilities on the consolidated balance sheets as of December 31, 2024.</w:t>
      </w:r>
    </w:p>
    <w:p>
      <w:pPr>
        <w:spacing w:after="0" w:line="68" w:lineRule="exact"/>
        <w:rPr>
          <w:rFonts w:ascii="Times New Roman" w:cs="Times New Roman" w:eastAsia="Times New Roman" w:hAnsi="Times New Roman"/>
          <w:sz w:val="12"/>
          <w:szCs w:val="12"/>
          <w:color w:val="auto"/>
        </w:rPr>
      </w:pPr>
    </w:p>
    <w:p>
      <w:pPr>
        <w:ind w:left="240" w:hanging="237"/>
        <w:spacing w:after="0"/>
        <w:tabs>
          <w:tab w:leader="none" w:pos="240" w:val="left"/>
        </w:tabs>
        <w:numPr>
          <w:ilvl w:val="0"/>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Amounts related to the financing component of the pay-fixed interest rate swaps.</w:t>
      </w:r>
    </w:p>
    <w:p>
      <w:pPr>
        <w:spacing w:after="0" w:line="16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The following table presents the pre-tax effect of the interest rate swaps and caps on the Company's accumulated OCI and consolidated statements of operations (in millions):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9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40" w:type="dxa"/>
            <w:vAlign w:val="bottom"/>
            <w:gridSpan w:val="6"/>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5960" w:type="dxa"/>
            <w:vAlign w:val="bottom"/>
          </w:tcPr>
          <w:p>
            <w:pPr>
              <w:spacing w:after="0" w:line="20" w:lineRule="exact"/>
              <w:rPr>
                <w:sz w:val="1"/>
                <w:szCs w:val="1"/>
                <w:color w:val="auto"/>
              </w:rPr>
            </w:pPr>
          </w:p>
        </w:tc>
        <w:tc>
          <w:tcPr>
            <w:tcW w:w="1740" w:type="dxa"/>
            <w:vAlign w:val="bottom"/>
            <w:gridSpan w:val="2"/>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5960" w:type="dxa"/>
            <w:vAlign w:val="bottom"/>
          </w:tcPr>
          <w:p>
            <w:pPr>
              <w:spacing w:after="0"/>
              <w:rPr>
                <w:sz w:val="15"/>
                <w:szCs w:val="15"/>
                <w:color w:val="auto"/>
              </w:rPr>
            </w:pPr>
          </w:p>
        </w:tc>
        <w:tc>
          <w:tcPr>
            <w:tcW w:w="174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79"/>
        </w:trPr>
        <w:tc>
          <w:tcPr>
            <w:tcW w:w="5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Derivatives not designated as hedging instruments</w:t>
            </w:r>
          </w:p>
        </w:tc>
        <w:tc>
          <w:tcPr>
            <w:tcW w:w="16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5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Loss recognized in income</w:t>
            </w:r>
          </w:p>
        </w:tc>
        <w:tc>
          <w:tcPr>
            <w:tcW w:w="1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 income, net</w:t>
            </w:r>
          </w:p>
        </w:tc>
        <w:tc>
          <w:tcPr>
            <w:tcW w:w="26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jc w:val="right"/>
              <w:ind w:right="131"/>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0" w:type="dxa"/>
            <w:vAlign w:val="bottom"/>
          </w:tcPr>
          <w:p>
            <w:pPr>
              <w:spacing w:after="0"/>
              <w:rPr>
                <w:sz w:val="1"/>
                <w:szCs w:val="1"/>
                <w:color w:val="auto"/>
              </w:rPr>
            </w:pPr>
          </w:p>
        </w:tc>
      </w:tr>
      <w:tr>
        <w:trPr>
          <w:trHeight w:val="98"/>
        </w:trPr>
        <w:tc>
          <w:tcPr>
            <w:tcW w:w="5960" w:type="dxa"/>
            <w:vAlign w:val="bottom"/>
            <w:shd w:val="clear" w:color="auto" w:fill="CCEEFF"/>
          </w:tcPr>
          <w:p>
            <w:pPr>
              <w:spacing w:after="0"/>
              <w:rPr>
                <w:sz w:val="8"/>
                <w:szCs w:val="8"/>
                <w:color w:val="auto"/>
              </w:rPr>
            </w:pPr>
          </w:p>
        </w:tc>
        <w:tc>
          <w:tcPr>
            <w:tcW w:w="16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88"/>
        </w:trPr>
        <w:tc>
          <w:tcPr>
            <w:tcW w:w="59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Derivatives in cash flow hedging relationships</w:t>
            </w: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 gain recognized in OCI (effective portion)</w:t>
            </w:r>
          </w:p>
        </w:tc>
        <w:tc>
          <w:tcPr>
            <w:tcW w:w="1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0" w:type="dxa"/>
            <w:vAlign w:val="bottom"/>
          </w:tcPr>
          <w:p>
            <w:pPr>
              <w:spacing w:after="0"/>
              <w:rPr>
                <w:sz w:val="1"/>
                <w:szCs w:val="1"/>
                <w:color w:val="auto"/>
              </w:rPr>
            </w:pPr>
          </w:p>
        </w:tc>
      </w:tr>
      <w:tr>
        <w:trPr>
          <w:trHeight w:val="235"/>
        </w:trPr>
        <w:tc>
          <w:tcPr>
            <w:tcW w:w="5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xml:space="preserve">Gain reclassified from accumulated OCI into income (effective portion) </w:t>
            </w:r>
            <w:r>
              <w:rPr>
                <w:rFonts w:ascii="Times New Roman" w:cs="Times New Roman" w:eastAsia="Times New Roman" w:hAnsi="Times New Roman"/>
                <w:sz w:val="17"/>
                <w:szCs w:val="17"/>
                <w:color w:val="auto"/>
                <w:vertAlign w:val="superscript"/>
              </w:rPr>
              <w:t>(1)</w:t>
            </w:r>
          </w:p>
        </w:tc>
        <w:tc>
          <w:tcPr>
            <w:tcW w:w="1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Interest expense, net</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(57.0)</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(34.7)</w:t>
            </w:r>
          </w:p>
        </w:tc>
        <w:tc>
          <w:tcPr>
            <w:tcW w:w="0" w:type="dxa"/>
            <w:vAlign w:val="bottom"/>
          </w:tcPr>
          <w:p>
            <w:pPr>
              <w:spacing w:after="0"/>
              <w:rPr>
                <w:sz w:val="1"/>
                <w:szCs w:val="1"/>
                <w:color w:val="auto"/>
              </w:rPr>
            </w:pPr>
          </w:p>
        </w:tc>
      </w:tr>
    </w:tbl>
    <w:p>
      <w:pPr>
        <w:spacing w:after="0" w:line="136" w:lineRule="exact"/>
        <w:rPr>
          <w:sz w:val="20"/>
          <w:szCs w:val="20"/>
          <w:color w:val="auto"/>
        </w:rPr>
      </w:pPr>
    </w:p>
    <w:p>
      <w:pPr>
        <w:ind w:left="240" w:hanging="237"/>
        <w:spacing w:after="0" w:line="276" w:lineRule="auto"/>
        <w:tabs>
          <w:tab w:leader="none" w:pos="238"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Includes amortization of accumulated OCI related to de-designated and terminated interest rate swaps of $19.6 million for the year ended December 31, 2023. There were no corresponding amounts for the years ended December 31 2025 and 2024.</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3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2"/>
          <w:szCs w:val="12"/>
          <w:b w:val="1"/>
          <w:bCs w:val="1"/>
          <w:u w:val="single" w:color="auto"/>
          <w:color w:val="0000FF"/>
        </w:rPr>
        <w:t>Table of Contents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SURGERY PARTNERS, INC.</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8. Earnings Per Share</w:t>
      </w:r>
    </w:p>
    <w:p>
      <w:pPr>
        <w:spacing w:after="0" w:line="115" w:lineRule="exact"/>
        <w:rPr>
          <w:sz w:val="20"/>
          <w:szCs w:val="20"/>
          <w:color w:val="auto"/>
        </w:rPr>
      </w:pPr>
    </w:p>
    <w:p>
      <w:pPr>
        <w:jc w:val="both"/>
        <w:ind w:firstLine="309"/>
        <w:spacing w:after="0" w:line="279" w:lineRule="auto"/>
        <w:rPr>
          <w:sz w:val="20"/>
          <w:szCs w:val="20"/>
          <w:color w:val="auto"/>
        </w:rPr>
      </w:pPr>
      <w:r>
        <w:rPr>
          <w:rFonts w:ascii="Times New Roman" w:cs="Times New Roman" w:eastAsia="Times New Roman" w:hAnsi="Times New Roman"/>
          <w:sz w:val="15"/>
          <w:szCs w:val="15"/>
          <w:color w:val="auto"/>
        </w:rPr>
        <w:t>Basic and diluted earnings (loss) per share is calculated based on the weighted-average number of shares outstanding in each period and dilutive stock options, unvested shares and warrants, to the extent such securities exist and have a dilutive effect on earnings (loss) per share. A reconciliation of the numerator and denominator of basic and diluted earnings (loss) per share follows (dollars in millions, except per share amounts; shares in thousands):</w:t>
      </w:r>
    </w:p>
    <w:p>
      <w:pPr>
        <w:spacing w:after="0" w:line="95" w:lineRule="exact"/>
        <w:rPr>
          <w:sz w:val="20"/>
          <w:szCs w:val="20"/>
          <w:color w:val="auto"/>
        </w:rPr>
      </w:pPr>
    </w:p>
    <w:tbl>
      <w:tblPr>
        <w:tblLayout w:type="fixed"/>
        <w:tblInd w:w="20" w:type="dxa"/>
        <w:tblCellMar>
          <w:top w:w="0" w:type="dxa"/>
          <w:left w:w="0" w:type="dxa"/>
          <w:bottom w:w="0" w:type="dxa"/>
          <w:right w:w="0" w:type="dxa"/>
        </w:tblCellMar>
      </w:tblPr>
      <w:tr>
        <w:trPr>
          <w:trHeight w:val="182"/>
        </w:trPr>
        <w:tc>
          <w:tcPr>
            <w:tcW w:w="68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w w:val="98"/>
              </w:rPr>
              <w:t>Year Ended December 31,</w:t>
            </w: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2"/>
        </w:trPr>
        <w:tc>
          <w:tcPr>
            <w:tcW w:w="68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81"/>
        </w:trPr>
        <w:tc>
          <w:tcPr>
            <w:tcW w:w="6800" w:type="dxa"/>
            <w:vAlign w:val="bottom"/>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8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8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40"/>
        </w:trPr>
        <w:tc>
          <w:tcPr>
            <w:tcW w:w="68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spacing w:after="0"/>
              <w:rPr>
                <w:sz w:val="12"/>
                <w:szCs w:val="12"/>
                <w:color w:val="auto"/>
              </w:rPr>
            </w:pPr>
          </w:p>
        </w:tc>
      </w:tr>
      <w:tr>
        <w:trPr>
          <w:trHeight w:val="206"/>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Numerator:</w:t>
            </w:r>
          </w:p>
        </w:tc>
        <w:tc>
          <w:tcPr>
            <w:tcW w:w="8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03"/>
        </w:trPr>
        <w:tc>
          <w:tcPr>
            <w:tcW w:w="68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loss attributable to Surgery Partners, Inc.</w:t>
            </w:r>
          </w:p>
        </w:tc>
        <w:tc>
          <w:tcPr>
            <w:tcW w:w="840" w:type="dxa"/>
            <w:vAlign w:val="bottom"/>
          </w:tcPr>
          <w:p>
            <w:pPr>
              <w:jc w:val="right"/>
              <w:ind w:right="665"/>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(77.9)</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(168.1)</w:t>
            </w:r>
          </w:p>
        </w:tc>
        <w:tc>
          <w:tcPr>
            <w:tcW w:w="100" w:type="dxa"/>
            <w:vAlign w:val="bottom"/>
          </w:tcPr>
          <w:p>
            <w:pPr>
              <w:spacing w:after="0"/>
              <w:rPr>
                <w:sz w:val="17"/>
                <w:szCs w:val="17"/>
                <w:color w:val="auto"/>
              </w:rPr>
            </w:pPr>
          </w:p>
        </w:tc>
        <w:tc>
          <w:tcPr>
            <w:tcW w:w="320" w:type="dxa"/>
            <w:vAlign w:val="bottom"/>
          </w:tcPr>
          <w:p>
            <w:pPr>
              <w:jc w:val="right"/>
              <w:ind w:right="163"/>
              <w:spacing w:after="0"/>
              <w:rPr>
                <w:sz w:val="20"/>
                <w:szCs w:val="20"/>
                <w:color w:val="auto"/>
              </w:rPr>
            </w:pPr>
            <w:r>
              <w:rPr>
                <w:rFonts w:ascii="Times New Roman" w:cs="Times New Roman" w:eastAsia="Times New Roman" w:hAnsi="Times New Roman"/>
                <w:sz w:val="15"/>
                <w:szCs w:val="15"/>
                <w:color w:val="auto"/>
                <w:w w:val="7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(11.9)</w:t>
            </w:r>
          </w:p>
        </w:tc>
      </w:tr>
      <w:tr>
        <w:trPr>
          <w:trHeight w:val="209"/>
        </w:trPr>
        <w:tc>
          <w:tcPr>
            <w:tcW w:w="68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05"/>
        </w:trPr>
        <w:tc>
          <w:tcPr>
            <w:tcW w:w="680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Denominator:</w:t>
            </w:r>
          </w:p>
        </w:tc>
        <w:tc>
          <w:tcPr>
            <w:tcW w:w="8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7"/>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Weighted average common shares outstanding:</w:t>
            </w:r>
          </w:p>
        </w:tc>
        <w:tc>
          <w:tcPr>
            <w:tcW w:w="8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03"/>
        </w:trPr>
        <w:tc>
          <w:tcPr>
            <w:tcW w:w="680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Basic</w:t>
            </w:r>
          </w:p>
        </w:tc>
        <w:tc>
          <w:tcPr>
            <w:tcW w:w="8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8"/>
              </w:rPr>
              <w:t>127,209</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126,122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125,613</w:t>
            </w:r>
          </w:p>
        </w:tc>
      </w:tr>
      <w:tr>
        <w:trPr>
          <w:trHeight w:val="209"/>
        </w:trPr>
        <w:tc>
          <w:tcPr>
            <w:tcW w:w="6800" w:type="dxa"/>
            <w:vAlign w:val="bottom"/>
            <w:shd w:val="clear" w:color="auto" w:fill="CCEEFF"/>
          </w:tcPr>
          <w:p>
            <w:pPr>
              <w:ind w:left="240"/>
              <w:spacing w:after="0" w:line="209" w:lineRule="exact"/>
              <w:rPr>
                <w:sz w:val="20"/>
                <w:szCs w:val="20"/>
                <w:color w:val="auto"/>
              </w:rPr>
            </w:pPr>
            <w:r>
              <w:rPr>
                <w:rFonts w:ascii="Times New Roman" w:cs="Times New Roman" w:eastAsia="Times New Roman" w:hAnsi="Times New Roman"/>
                <w:sz w:val="15"/>
                <w:szCs w:val="15"/>
                <w:color w:val="auto"/>
              </w:rPr>
              <w:t xml:space="preserve">Diluted </w:t>
            </w:r>
            <w:r>
              <w:rPr>
                <w:rFonts w:ascii="Times New Roman" w:cs="Times New Roman" w:eastAsia="Times New Roman" w:hAnsi="Times New Roman"/>
                <w:sz w:val="20"/>
                <w:szCs w:val="20"/>
                <w:color w:val="auto"/>
                <w:vertAlign w:val="superscript"/>
              </w:rPr>
              <w:t>(1)</w:t>
            </w:r>
          </w:p>
        </w:tc>
        <w:tc>
          <w:tcPr>
            <w:tcW w:w="8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8"/>
              </w:rPr>
              <w:t>127,209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126,122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125,613</w:t>
            </w:r>
          </w:p>
        </w:tc>
      </w:tr>
      <w:tr>
        <w:trPr>
          <w:trHeight w:val="206"/>
        </w:trPr>
        <w:tc>
          <w:tcPr>
            <w:tcW w:w="68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6"/>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loss per share attributable to common stockholders:</w:t>
            </w:r>
          </w:p>
        </w:tc>
        <w:tc>
          <w:tcPr>
            <w:tcW w:w="8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03"/>
        </w:trPr>
        <w:tc>
          <w:tcPr>
            <w:tcW w:w="680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Basic</w:t>
            </w:r>
          </w:p>
        </w:tc>
        <w:tc>
          <w:tcPr>
            <w:tcW w:w="840" w:type="dxa"/>
            <w:vAlign w:val="bottom"/>
          </w:tcPr>
          <w:p>
            <w:pPr>
              <w:jc w:val="right"/>
              <w:ind w:right="665"/>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(0.61)</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(1.33)</w:t>
            </w:r>
          </w:p>
        </w:tc>
        <w:tc>
          <w:tcPr>
            <w:tcW w:w="100" w:type="dxa"/>
            <w:vAlign w:val="bottom"/>
          </w:tcPr>
          <w:p>
            <w:pPr>
              <w:spacing w:after="0"/>
              <w:rPr>
                <w:sz w:val="17"/>
                <w:szCs w:val="17"/>
                <w:color w:val="auto"/>
              </w:rPr>
            </w:pPr>
          </w:p>
        </w:tc>
        <w:tc>
          <w:tcPr>
            <w:tcW w:w="320" w:type="dxa"/>
            <w:vAlign w:val="bottom"/>
          </w:tcPr>
          <w:p>
            <w:pPr>
              <w:jc w:val="right"/>
              <w:ind w:right="163"/>
              <w:spacing w:after="0"/>
              <w:rPr>
                <w:sz w:val="20"/>
                <w:szCs w:val="20"/>
                <w:color w:val="auto"/>
              </w:rPr>
            </w:pPr>
            <w:r>
              <w:rPr>
                <w:rFonts w:ascii="Times New Roman" w:cs="Times New Roman" w:eastAsia="Times New Roman" w:hAnsi="Times New Roman"/>
                <w:sz w:val="15"/>
                <w:szCs w:val="15"/>
                <w:color w:val="auto"/>
                <w:w w:val="7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(0.09)</w:t>
            </w:r>
          </w:p>
        </w:tc>
      </w:tr>
      <w:tr>
        <w:trPr>
          <w:trHeight w:val="209"/>
        </w:trPr>
        <w:tc>
          <w:tcPr>
            <w:tcW w:w="6800" w:type="dxa"/>
            <w:vAlign w:val="bottom"/>
            <w:shd w:val="clear" w:color="auto" w:fill="CCEEFF"/>
          </w:tcPr>
          <w:p>
            <w:pPr>
              <w:ind w:left="240"/>
              <w:spacing w:after="0" w:line="209" w:lineRule="exact"/>
              <w:rPr>
                <w:sz w:val="20"/>
                <w:szCs w:val="20"/>
                <w:color w:val="auto"/>
              </w:rPr>
            </w:pPr>
            <w:r>
              <w:rPr>
                <w:rFonts w:ascii="Times New Roman" w:cs="Times New Roman" w:eastAsia="Times New Roman" w:hAnsi="Times New Roman"/>
                <w:sz w:val="15"/>
                <w:szCs w:val="15"/>
                <w:color w:val="auto"/>
              </w:rPr>
              <w:t xml:space="preserve">Diluted </w:t>
            </w:r>
            <w:r>
              <w:rPr>
                <w:rFonts w:ascii="Times New Roman" w:cs="Times New Roman" w:eastAsia="Times New Roman" w:hAnsi="Times New Roman"/>
                <w:sz w:val="20"/>
                <w:szCs w:val="20"/>
                <w:color w:val="auto"/>
                <w:vertAlign w:val="superscript"/>
              </w:rPr>
              <w:t>(1)</w:t>
            </w:r>
          </w:p>
        </w:tc>
        <w:tc>
          <w:tcPr>
            <w:tcW w:w="840" w:type="dxa"/>
            <w:vAlign w:val="bottom"/>
            <w:shd w:val="clear" w:color="auto" w:fill="CCEEFF"/>
          </w:tcPr>
          <w:p>
            <w:pPr>
              <w:jc w:val="right"/>
              <w:ind w:right="665"/>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(0.61)</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w w:val="7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(0.09)</w:t>
            </w:r>
          </w:p>
        </w:tc>
      </w:tr>
      <w:tr>
        <w:trPr>
          <w:trHeight w:val="155"/>
        </w:trPr>
        <w:tc>
          <w:tcPr>
            <w:tcW w:w="68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55"/>
        </w:trPr>
        <w:tc>
          <w:tcPr>
            <w:tcW w:w="6800" w:type="dxa"/>
            <w:vAlign w:val="bottom"/>
            <w:shd w:val="clear" w:color="auto" w:fill="CCEEFF"/>
          </w:tcPr>
          <w:p>
            <w:pPr>
              <w:ind w:left="20"/>
              <w:spacing w:after="0" w:line="155" w:lineRule="exact"/>
              <w:rPr>
                <w:sz w:val="20"/>
                <w:szCs w:val="20"/>
                <w:color w:val="auto"/>
              </w:rPr>
            </w:pPr>
            <w:r>
              <w:rPr>
                <w:rFonts w:ascii="Times New Roman" w:cs="Times New Roman" w:eastAsia="Times New Roman" w:hAnsi="Times New Roman"/>
                <w:sz w:val="15"/>
                <w:szCs w:val="15"/>
                <w:b w:val="1"/>
                <w:bCs w:val="1"/>
                <w:color w:val="auto"/>
              </w:rPr>
              <w:t>Dilutive securities outstanding not included in the computation of diluted loss per share as their</w:t>
            </w:r>
          </w:p>
        </w:tc>
        <w:tc>
          <w:tcPr>
            <w:tcW w:w="8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r>
      <w:tr>
        <w:trPr>
          <w:trHeight w:val="206"/>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effect is antidilutive:</w:t>
            </w:r>
          </w:p>
        </w:tc>
        <w:tc>
          <w:tcPr>
            <w:tcW w:w="8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03"/>
        </w:trPr>
        <w:tc>
          <w:tcPr>
            <w:tcW w:w="68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Stock options</w:t>
            </w:r>
          </w:p>
        </w:tc>
        <w:tc>
          <w:tcPr>
            <w:tcW w:w="8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407</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1,133</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1,246</w:t>
            </w:r>
          </w:p>
        </w:tc>
      </w:tr>
      <w:tr>
        <w:trPr>
          <w:trHeight w:val="209"/>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Restricted shares</w:t>
            </w:r>
          </w:p>
        </w:tc>
        <w:tc>
          <w:tcPr>
            <w:tcW w:w="8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263</w:t>
            </w: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  The impact of potentially dilutive securities for all periods was not considered because the effect would be anti-dilutive.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Share Repurchase Authorization</w:t>
      </w:r>
    </w:p>
    <w:p>
      <w:pPr>
        <w:spacing w:after="0" w:line="128" w:lineRule="exact"/>
        <w:rPr>
          <w:sz w:val="20"/>
          <w:szCs w:val="20"/>
          <w:color w:val="auto"/>
        </w:rPr>
      </w:pPr>
    </w:p>
    <w:p>
      <w:pPr>
        <w:jc w:val="both"/>
        <w:ind w:firstLine="309"/>
        <w:spacing w:after="0" w:line="269" w:lineRule="auto"/>
        <w:rPr>
          <w:sz w:val="20"/>
          <w:szCs w:val="20"/>
          <w:color w:val="auto"/>
        </w:rPr>
      </w:pPr>
      <w:r>
        <w:rPr>
          <w:rFonts w:ascii="Times New Roman" w:cs="Times New Roman" w:eastAsia="Times New Roman" w:hAnsi="Times New Roman"/>
          <w:sz w:val="15"/>
          <w:szCs w:val="15"/>
          <w:color w:val="auto"/>
        </w:rPr>
        <w:t>On December 15, 2017, the Company's Board of Directors authorized a share repurchase program of up to $50.0 million of the Company's issued and outstanding common stock from time to time. The authorization does not have a specified expiration date, and the share repurchase program may be suspended, recommenced or discontinued at any time or from time to time without prior notice. At December 31, 2025, the Company had $46.0 million of repurchase authorization available under the December 2017 authorization. The authorization does not obligate the Company to repurchase any shares, and the Company does not intend to make further repurchases.</w:t>
      </w:r>
    </w:p>
    <w:p>
      <w:pPr>
        <w:spacing w:after="0" w:line="65" w:lineRule="exact"/>
        <w:rPr>
          <w:sz w:val="20"/>
          <w:szCs w:val="20"/>
          <w:color w:val="auto"/>
        </w:rPr>
      </w:pPr>
    </w:p>
    <w:p>
      <w:pPr>
        <w:jc w:val="both"/>
        <w:ind w:firstLine="309"/>
        <w:spacing w:after="0" w:line="307" w:lineRule="auto"/>
        <w:rPr>
          <w:sz w:val="20"/>
          <w:szCs w:val="20"/>
          <w:color w:val="auto"/>
        </w:rPr>
      </w:pPr>
      <w:r>
        <w:rPr>
          <w:rFonts w:ascii="Times New Roman" w:cs="Times New Roman" w:eastAsia="Times New Roman" w:hAnsi="Times New Roman"/>
          <w:sz w:val="15"/>
          <w:szCs w:val="15"/>
          <w:color w:val="auto"/>
        </w:rPr>
        <w:t>On February 26, 2026, our Board of Directors authorized a share repurchase program of up to $200.0 million. The share repurchase program authorized on February 26, 2026 replaced the previous program.</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9. Income Taxes</w:t>
      </w:r>
    </w:p>
    <w:p>
      <w:pPr>
        <w:spacing w:after="0" w:line="12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Income tax expense (benefit) is comprised of the following (in millions):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760" w:type="dxa"/>
            <w:vAlign w:val="bottom"/>
            <w:gridSpan w:val="6"/>
          </w:tcPr>
          <w:p>
            <w:pPr>
              <w:jc w:val="right"/>
              <w:ind w:right="163"/>
              <w:spacing w:after="0"/>
              <w:rPr>
                <w:sz w:val="20"/>
                <w:szCs w:val="20"/>
                <w:color w:val="auto"/>
              </w:rPr>
            </w:pPr>
            <w:r>
              <w:rPr>
                <w:rFonts w:ascii="Times New Roman" w:cs="Times New Roman" w:eastAsia="Times New Roman" w:hAnsi="Times New Roman"/>
                <w:sz w:val="14"/>
                <w:szCs w:val="14"/>
                <w:b w:val="1"/>
                <w:bCs w:val="1"/>
                <w:color w:val="auto"/>
                <w:w w:val="95"/>
              </w:rPr>
              <w:t>Year Ended December 31,</w:t>
            </w:r>
          </w:p>
        </w:tc>
        <w:tc>
          <w:tcPr>
            <w:tcW w:w="940" w:type="dxa"/>
            <w:vAlign w:val="bottom"/>
          </w:tcPr>
          <w:p>
            <w:pPr>
              <w:spacing w:after="0"/>
              <w:rPr>
                <w:sz w:val="15"/>
                <w:szCs w:val="15"/>
                <w:color w:val="auto"/>
              </w:rPr>
            </w:pPr>
          </w:p>
        </w:tc>
      </w:tr>
      <w:tr>
        <w:trPr>
          <w:trHeight w:val="22"/>
        </w:trPr>
        <w:tc>
          <w:tcPr>
            <w:tcW w:w="73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81"/>
        </w:trPr>
        <w:tc>
          <w:tcPr>
            <w:tcW w:w="7360" w:type="dxa"/>
            <w:vAlign w:val="bottom"/>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0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40"/>
        </w:trPr>
        <w:tc>
          <w:tcPr>
            <w:tcW w:w="73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206"/>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Current:</w:t>
            </w:r>
          </w:p>
        </w:tc>
        <w:tc>
          <w:tcPr>
            <w:tcW w:w="8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03"/>
        </w:trPr>
        <w:tc>
          <w:tcPr>
            <w:tcW w:w="73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Federal</w:t>
            </w:r>
          </w:p>
        </w:tc>
        <w:tc>
          <w:tcPr>
            <w:tcW w:w="820" w:type="dxa"/>
            <w:vAlign w:val="bottom"/>
          </w:tcPr>
          <w:p>
            <w:pPr>
              <w:jc w:val="right"/>
              <w:ind w:right="646"/>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gridSpan w:val="3"/>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9"/>
        </w:trPr>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State</w:t>
            </w: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w:t>
            </w:r>
          </w:p>
        </w:tc>
      </w:tr>
      <w:tr>
        <w:trPr>
          <w:trHeight w:val="205"/>
        </w:trPr>
        <w:tc>
          <w:tcPr>
            <w:tcW w:w="736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Deferred:</w:t>
            </w:r>
          </w:p>
        </w:tc>
        <w:tc>
          <w:tcPr>
            <w:tcW w:w="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7"/>
        </w:trPr>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Federal</w:t>
            </w: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11.6</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114.6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w:t>
            </w:r>
          </w:p>
        </w:tc>
      </w:tr>
      <w:tr>
        <w:trPr>
          <w:trHeight w:val="203"/>
        </w:trPr>
        <w:tc>
          <w:tcPr>
            <w:tcW w:w="73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5"/>
                <w:szCs w:val="15"/>
                <w:color w:val="auto"/>
              </w:rPr>
              <w:t>State</w:t>
            </w:r>
          </w:p>
        </w:tc>
        <w:tc>
          <w:tcPr>
            <w:tcW w:w="8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5.3</w:t>
            </w: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16.9</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(0.2)</w:t>
            </w:r>
          </w:p>
        </w:tc>
      </w:tr>
      <w:tr>
        <w:trPr>
          <w:trHeight w:val="222"/>
        </w:trPr>
        <w:tc>
          <w:tcPr>
            <w:tcW w:w="7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Total income tax expense (benefit)</w:t>
            </w:r>
          </w:p>
        </w:tc>
        <w:tc>
          <w:tcPr>
            <w:tcW w:w="820" w:type="dxa"/>
            <w:vAlign w:val="bottom"/>
            <w:shd w:val="clear" w:color="auto" w:fill="CCEEFF"/>
          </w:tcPr>
          <w:p>
            <w:pPr>
              <w:jc w:val="right"/>
              <w:ind w:right="646"/>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18.0</w:t>
            </w:r>
          </w:p>
        </w:tc>
        <w:tc>
          <w:tcPr>
            <w:tcW w:w="4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134.6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(0.3)</w:t>
            </w: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3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2"/>
          <w:szCs w:val="12"/>
          <w:b w:val="1"/>
          <w:bCs w:val="1"/>
          <w:u w:val="single" w:color="auto"/>
          <w:color w:val="0000FF"/>
        </w:rPr>
        <w:t>Table of Contents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SURGERY PARTNERS, INC.</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ind w:firstLine="309"/>
        <w:spacing w:after="0" w:line="251" w:lineRule="auto"/>
        <w:rPr>
          <w:sz w:val="20"/>
          <w:szCs w:val="20"/>
          <w:color w:val="auto"/>
        </w:rPr>
      </w:pPr>
      <w:r>
        <w:rPr>
          <w:rFonts w:ascii="Times New Roman" w:cs="Times New Roman" w:eastAsia="Times New Roman" w:hAnsi="Times New Roman"/>
          <w:sz w:val="15"/>
          <w:szCs w:val="15"/>
          <w:color w:val="auto"/>
        </w:rPr>
        <w:t>A reconciliation of the provision for income taxes as reported in the consolidated statements of operations and the amount of income tax expense (benefit) computed by multiplying consolidated income (loss) in each year by the U.S. federal statutory rate of 21% follows (in millions). The reconciling item of $43.0 million reverses the earnings attributable to the non-controlling interest as the Company is not responsible for the tax associated with those earnings. State taxes in Texas and Tennessee for 2025 made up the majority (greater than 50%) of the tax effect in this category.</w:t>
      </w:r>
    </w:p>
    <w:p>
      <w:pPr>
        <w:spacing w:after="0" w:line="207" w:lineRule="exact"/>
        <w:rPr>
          <w:sz w:val="20"/>
          <w:szCs w:val="20"/>
          <w:color w:val="auto"/>
        </w:rPr>
      </w:pPr>
    </w:p>
    <w:p>
      <w:pPr>
        <w:jc w:val="both"/>
        <w:ind w:firstLine="309"/>
        <w:spacing w:after="0" w:line="251" w:lineRule="auto"/>
        <w:rPr>
          <w:sz w:val="20"/>
          <w:szCs w:val="20"/>
          <w:color w:val="auto"/>
        </w:rPr>
      </w:pPr>
      <w:r>
        <w:rPr>
          <w:rFonts w:ascii="Times New Roman" w:cs="Times New Roman" w:eastAsia="Times New Roman" w:hAnsi="Times New Roman"/>
          <w:sz w:val="15"/>
          <w:szCs w:val="15"/>
          <w:color w:val="auto"/>
        </w:rPr>
        <w:t>As of December 31, 2025 and December 31, 2024, the Company was in a cumulative three-year pre-tax loss position, which was considered significant negative evidence that could not be overcome by objective and verifiable positive evidence. Based on the weight of available evidence, the Company concluded that it was more likely than not that a portion of its net deferred tax assets will not be realized. Therefore, in accordance with ASC 740-10-30, the Company recorded a full valuation allowance, net of future reversing deferred tax liabilities, on its deferred tax assets to reflect the net realizable value as of the balance sheet dates.</w:t>
      </w:r>
    </w:p>
    <w:p>
      <w:pPr>
        <w:spacing w:after="0" w:line="20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Below is tabular rate reconciliation pursuant to the disclosure requirements of ASU 2023-09 for the year ended December 31, 2025:</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40" w:type="dxa"/>
            <w:vAlign w:val="bottom"/>
            <w:gridSpan w:val="3"/>
          </w:tcPr>
          <w:p>
            <w:pPr>
              <w:jc w:val="right"/>
              <w:ind w:right="343"/>
              <w:spacing w:after="0"/>
              <w:rPr>
                <w:sz w:val="20"/>
                <w:szCs w:val="20"/>
                <w:color w:val="auto"/>
              </w:rPr>
            </w:pPr>
            <w:r>
              <w:rPr>
                <w:rFonts w:ascii="Times New Roman" w:cs="Times New Roman" w:eastAsia="Times New Roman" w:hAnsi="Times New Roman"/>
                <w:sz w:val="14"/>
                <w:szCs w:val="14"/>
                <w:b w:val="1"/>
                <w:bCs w:val="1"/>
                <w:color w:val="auto"/>
              </w:rPr>
              <w:t>Year Ended December 31, 2025</w:t>
            </w:r>
          </w:p>
        </w:tc>
      </w:tr>
      <w:tr>
        <w:trPr>
          <w:trHeight w:val="22"/>
        </w:trPr>
        <w:tc>
          <w:tcPr>
            <w:tcW w:w="8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81"/>
        </w:trPr>
        <w:tc>
          <w:tcPr>
            <w:tcW w:w="8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340" w:type="dxa"/>
            <w:vAlign w:val="bottom"/>
          </w:tcPr>
          <w:p>
            <w:pPr>
              <w:jc w:val="right"/>
              <w:ind w:right="363"/>
              <w:spacing w:after="0"/>
              <w:rPr>
                <w:sz w:val="20"/>
                <w:szCs w:val="20"/>
                <w:color w:val="auto"/>
              </w:rPr>
            </w:pPr>
            <w:r>
              <w:rPr>
                <w:rFonts w:ascii="Times New Roman" w:cs="Times New Roman" w:eastAsia="Times New Roman" w:hAnsi="Times New Roman"/>
                <w:sz w:val="14"/>
                <w:szCs w:val="14"/>
                <w:b w:val="1"/>
                <w:bCs w:val="1"/>
                <w:color w:val="auto"/>
              </w:rPr>
              <w:t>Percent</w:t>
            </w:r>
          </w:p>
        </w:tc>
      </w:tr>
      <w:tr>
        <w:trPr>
          <w:trHeight w:val="140"/>
        </w:trPr>
        <w:tc>
          <w:tcPr>
            <w:tcW w:w="85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Borders>
              <w:top w:val="single" w:sz="8" w:color="auto"/>
            </w:tcBorders>
          </w:tcPr>
          <w:p>
            <w:pPr>
              <w:spacing w:after="0"/>
              <w:rPr>
                <w:sz w:val="12"/>
                <w:szCs w:val="12"/>
                <w:color w:val="auto"/>
              </w:rPr>
            </w:pPr>
          </w:p>
        </w:tc>
      </w:tr>
      <w:tr>
        <w:trPr>
          <w:trHeight w:val="206"/>
        </w:trPr>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Tax expense at U.S. federal statutory rate</w:t>
            </w:r>
          </w:p>
        </w:tc>
        <w:tc>
          <w:tcPr>
            <w:tcW w:w="2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24.5</w:t>
            </w: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21.0 %</w:t>
            </w:r>
          </w:p>
        </w:tc>
      </w:tr>
      <w:tr>
        <w:trPr>
          <w:trHeight w:val="203"/>
        </w:trPr>
        <w:tc>
          <w:tcPr>
            <w:tcW w:w="85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State income tax, net of U.S. federal tax benefit</w:t>
            </w:r>
          </w:p>
        </w:tc>
        <w:tc>
          <w:tcPr>
            <w:tcW w:w="2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6.3</w:t>
            </w:r>
          </w:p>
        </w:tc>
        <w:tc>
          <w:tcPr>
            <w:tcW w:w="1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5.4 %</w:t>
            </w:r>
          </w:p>
        </w:tc>
      </w:tr>
      <w:tr>
        <w:trPr>
          <w:trHeight w:val="209"/>
        </w:trPr>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Change in federal valuation allowance</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18.1</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15.5 %</w:t>
            </w:r>
          </w:p>
        </w:tc>
      </w:tr>
      <w:tr>
        <w:trPr>
          <w:trHeight w:val="203"/>
        </w:trPr>
        <w:tc>
          <w:tcPr>
            <w:tcW w:w="85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income attributable to non-controlling interests</w:t>
            </w:r>
          </w:p>
        </w:tc>
        <w:tc>
          <w:tcPr>
            <w:tcW w:w="2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(43.0)</w:t>
            </w:r>
          </w:p>
        </w:tc>
        <w:tc>
          <w:tcPr>
            <w:tcW w:w="1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(36.8)%</w:t>
            </w:r>
          </w:p>
        </w:tc>
      </w:tr>
      <w:tr>
        <w:trPr>
          <w:trHeight w:val="209"/>
        </w:trPr>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Stock option compensation</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w:t>
            </w:r>
          </w:p>
        </w:tc>
      </w:tr>
      <w:tr>
        <w:trPr>
          <w:trHeight w:val="203"/>
        </w:trPr>
        <w:tc>
          <w:tcPr>
            <w:tcW w:w="85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Non-deductible compensation</w:t>
            </w:r>
          </w:p>
        </w:tc>
        <w:tc>
          <w:tcPr>
            <w:tcW w:w="2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w:t>
            </w:r>
          </w:p>
        </w:tc>
        <w:tc>
          <w:tcPr>
            <w:tcW w:w="1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3.5 %</w:t>
            </w:r>
          </w:p>
        </w:tc>
      </w:tr>
      <w:tr>
        <w:trPr>
          <w:trHeight w:val="209"/>
        </w:trPr>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Differences related to divested facilities</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1.6 %</w:t>
            </w:r>
          </w:p>
        </w:tc>
      </w:tr>
      <w:tr>
        <w:trPr>
          <w:trHeight w:val="203"/>
        </w:trPr>
        <w:tc>
          <w:tcPr>
            <w:tcW w:w="85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Other permanent items</w:t>
            </w:r>
          </w:p>
        </w:tc>
        <w:tc>
          <w:tcPr>
            <w:tcW w:w="2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w:t>
            </w:r>
          </w:p>
        </w:tc>
        <w:tc>
          <w:tcPr>
            <w:tcW w:w="1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0.9 %</w:t>
            </w:r>
          </w:p>
        </w:tc>
      </w:tr>
      <w:tr>
        <w:trPr>
          <w:trHeight w:val="209"/>
        </w:trPr>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Tax return reconciling differences</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6.4 %</w:t>
            </w:r>
          </w:p>
        </w:tc>
      </w:tr>
      <w:tr>
        <w:trPr>
          <w:trHeight w:val="203"/>
        </w:trPr>
        <w:tc>
          <w:tcPr>
            <w:tcW w:w="8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Other</w:t>
            </w: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0.3</w:t>
            </w:r>
          </w:p>
        </w:tc>
        <w:tc>
          <w:tcPr>
            <w:tcW w:w="100" w:type="dxa"/>
            <w:vAlign w:val="bottom"/>
            <w:tcBorders>
              <w:bottom w:val="single" w:sz="8" w:color="CCEEFF"/>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0.3 %</w:t>
            </w:r>
          </w:p>
        </w:tc>
      </w:tr>
      <w:tr>
        <w:trPr>
          <w:trHeight w:val="227"/>
        </w:trPr>
        <w:tc>
          <w:tcPr>
            <w:tcW w:w="85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Total income tax expense (benefit)</w:t>
            </w:r>
          </w:p>
        </w:tc>
        <w:tc>
          <w:tcPr>
            <w:tcW w:w="22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18.0</w:t>
            </w:r>
          </w:p>
        </w:tc>
        <w:tc>
          <w:tcPr>
            <w:tcW w:w="10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15.4 %</w:t>
            </w: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Below is a reconciliation of the statutory federal income tax expense and the Company's total income tax expense for the years ended December 31, 2024 and 2023:</w:t>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85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0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38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86"/>
        </w:trPr>
        <w:tc>
          <w:tcPr>
            <w:tcW w:w="8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0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84"/>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140"/>
        </w:trPr>
        <w:tc>
          <w:tcPr>
            <w:tcW w:w="8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206"/>
        </w:trPr>
        <w:tc>
          <w:tcPr>
            <w:tcW w:w="8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Tax expense at U.S. federal statutory rate</w:t>
            </w:r>
          </w:p>
        </w:tc>
        <w:tc>
          <w:tcPr>
            <w:tcW w:w="22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w w:val="7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28.4</w:t>
            </w:r>
          </w:p>
        </w:tc>
      </w:tr>
      <w:tr>
        <w:trPr>
          <w:trHeight w:val="203"/>
        </w:trPr>
        <w:tc>
          <w:tcPr>
            <w:tcW w:w="87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State income tax, net of U.S. federal tax benefit</w:t>
            </w:r>
          </w:p>
        </w:tc>
        <w:tc>
          <w:tcPr>
            <w:tcW w:w="2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0.9</w:t>
            </w:r>
          </w:p>
        </w:tc>
      </w:tr>
      <w:tr>
        <w:trPr>
          <w:trHeight w:val="209"/>
        </w:trPr>
        <w:tc>
          <w:tcPr>
            <w:tcW w:w="8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Change in federal valuation allowance</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115.4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21.5</w:t>
            </w:r>
          </w:p>
        </w:tc>
      </w:tr>
      <w:tr>
        <w:trPr>
          <w:trHeight w:val="203"/>
        </w:trPr>
        <w:tc>
          <w:tcPr>
            <w:tcW w:w="87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Net income attributable to non-controlling interests</w:t>
            </w:r>
          </w:p>
        </w:tc>
        <w:tc>
          <w:tcPr>
            <w:tcW w:w="2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(30.9)</w:t>
            </w:r>
          </w:p>
        </w:tc>
      </w:tr>
      <w:tr>
        <w:trPr>
          <w:trHeight w:val="209"/>
        </w:trPr>
        <w:tc>
          <w:tcPr>
            <w:tcW w:w="8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Stock option compensation</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w:t>
            </w:r>
          </w:p>
        </w:tc>
      </w:tr>
      <w:tr>
        <w:trPr>
          <w:trHeight w:val="203"/>
        </w:trPr>
        <w:tc>
          <w:tcPr>
            <w:tcW w:w="87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Differences related to divested facilities</w:t>
            </w:r>
          </w:p>
        </w:tc>
        <w:tc>
          <w:tcPr>
            <w:tcW w:w="2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(18.9)</w:t>
            </w:r>
          </w:p>
        </w:tc>
      </w:tr>
      <w:tr>
        <w:trPr>
          <w:trHeight w:val="209"/>
        </w:trPr>
        <w:tc>
          <w:tcPr>
            <w:tcW w:w="8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Tax return reconciling differences</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w:t>
            </w:r>
          </w:p>
        </w:tc>
      </w:tr>
      <w:tr>
        <w:trPr>
          <w:trHeight w:val="203"/>
        </w:trPr>
        <w:tc>
          <w:tcPr>
            <w:tcW w:w="87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5"/>
                <w:szCs w:val="15"/>
                <w:color w:val="auto"/>
              </w:rPr>
              <w:t>Other</w:t>
            </w: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(0.4)</w:t>
            </w:r>
          </w:p>
        </w:tc>
      </w:tr>
      <w:tr>
        <w:trPr>
          <w:trHeight w:val="227"/>
        </w:trPr>
        <w:tc>
          <w:tcPr>
            <w:tcW w:w="870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Total income tax expense (benefit)</w:t>
            </w:r>
          </w:p>
        </w:tc>
        <w:tc>
          <w:tcPr>
            <w:tcW w:w="22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134.6</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(0.3)</w:t>
            </w: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3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2"/>
          <w:szCs w:val="12"/>
          <w:b w:val="1"/>
          <w:bCs w:val="1"/>
          <w:u w:val="single" w:color="auto"/>
          <w:color w:val="0000FF"/>
        </w:rPr>
        <w:t>Table of Contents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SURGERY PARTNERS, INC.</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The components of temporary differences and the approximate tax effects that give rise to the Company’s net deferred tax balance are as follows (in millions):</w:t>
      </w:r>
    </w:p>
    <w:p>
      <w:pPr>
        <w:spacing w:after="0" w:line="228" w:lineRule="exact"/>
        <w:rPr>
          <w:sz w:val="20"/>
          <w:szCs w:val="20"/>
          <w:color w:val="auto"/>
        </w:rPr>
      </w:pPr>
    </w:p>
    <w:tbl>
      <w:tblPr>
        <w:tblLayout w:type="fixed"/>
        <w:tblInd w:w="20" w:type="dxa"/>
        <w:tblCellMar>
          <w:top w:w="0" w:type="dxa"/>
          <w:left w:w="0" w:type="dxa"/>
          <w:bottom w:w="0" w:type="dxa"/>
          <w:right w:w="0" w:type="dxa"/>
        </w:tblCellMar>
      </w:tblPr>
      <w:tr>
        <w:trPr>
          <w:trHeight w:val="182"/>
        </w:trPr>
        <w:tc>
          <w:tcPr>
            <w:tcW w:w="8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60" w:type="dxa"/>
            <w:vAlign w:val="bottom"/>
            <w:gridSpan w:val="3"/>
          </w:tcPr>
          <w:p>
            <w:pPr>
              <w:jc w:val="right"/>
              <w:ind w:right="2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20" w:type="dxa"/>
            <w:vAlign w:val="bottom"/>
          </w:tcPr>
          <w:p>
            <w:pPr>
              <w:spacing w:after="0"/>
              <w:rPr>
                <w:sz w:val="15"/>
                <w:szCs w:val="15"/>
                <w:color w:val="auto"/>
              </w:rPr>
            </w:pPr>
          </w:p>
        </w:tc>
      </w:tr>
      <w:tr>
        <w:trPr>
          <w:trHeight w:val="22"/>
        </w:trPr>
        <w:tc>
          <w:tcPr>
            <w:tcW w:w="84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81"/>
        </w:trPr>
        <w:tc>
          <w:tcPr>
            <w:tcW w:w="8400" w:type="dxa"/>
            <w:vAlign w:val="bottom"/>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6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89"/>
        </w:trPr>
        <w:tc>
          <w:tcPr>
            <w:tcW w:w="8400" w:type="dxa"/>
            <w:vAlign w:val="bottom"/>
          </w:tcPr>
          <w:p>
            <w:pPr>
              <w:spacing w:after="0"/>
              <w:rPr>
                <w:sz w:val="7"/>
                <w:szCs w:val="7"/>
                <w:color w:val="auto"/>
              </w:rPr>
            </w:pPr>
          </w:p>
        </w:tc>
        <w:tc>
          <w:tcPr>
            <w:tcW w:w="8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920" w:type="dxa"/>
            <w:vAlign w:val="bottom"/>
          </w:tcPr>
          <w:p>
            <w:pPr>
              <w:spacing w:after="0"/>
              <w:rPr>
                <w:sz w:val="7"/>
                <w:szCs w:val="7"/>
                <w:color w:val="auto"/>
              </w:rPr>
            </w:pPr>
          </w:p>
        </w:tc>
      </w:tr>
      <w:tr>
        <w:trPr>
          <w:trHeight w:val="206"/>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Deferred tax assets:</w:t>
            </w:r>
          </w:p>
        </w:tc>
        <w:tc>
          <w:tcPr>
            <w:tcW w:w="8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03"/>
        </w:trPr>
        <w:tc>
          <w:tcPr>
            <w:tcW w:w="84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Medical malpractice liability</w:t>
            </w:r>
          </w:p>
        </w:tc>
        <w:tc>
          <w:tcPr>
            <w:tcW w:w="840" w:type="dxa"/>
            <w:vAlign w:val="bottom"/>
          </w:tcPr>
          <w:p>
            <w:pPr>
              <w:jc w:val="right"/>
              <w:ind w:right="666"/>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w:t>
            </w:r>
          </w:p>
        </w:tc>
        <w:tc>
          <w:tcPr>
            <w:tcW w:w="100" w:type="dxa"/>
            <w:vAlign w:val="bottom"/>
          </w:tcPr>
          <w:p>
            <w:pPr>
              <w:spacing w:after="0"/>
              <w:rPr>
                <w:sz w:val="17"/>
                <w:szCs w:val="17"/>
                <w:color w:val="auto"/>
              </w:rPr>
            </w:pPr>
          </w:p>
        </w:tc>
        <w:tc>
          <w:tcPr>
            <w:tcW w:w="440" w:type="dxa"/>
            <w:vAlign w:val="bottom"/>
          </w:tcPr>
          <w:p>
            <w:pPr>
              <w:jc w:val="right"/>
              <w:ind w:right="263"/>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3.8</w:t>
            </w:r>
          </w:p>
        </w:tc>
      </w:tr>
      <w:tr>
        <w:trPr>
          <w:trHeight w:val="209"/>
        </w:trPr>
        <w:tc>
          <w:tcPr>
            <w:tcW w:w="8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Accrued vacation and incentive compensation</w:t>
            </w:r>
          </w:p>
        </w:tc>
        <w:tc>
          <w:tcPr>
            <w:tcW w:w="8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0.2</w:t>
            </w:r>
          </w:p>
        </w:tc>
      </w:tr>
      <w:tr>
        <w:trPr>
          <w:trHeight w:val="203"/>
        </w:trPr>
        <w:tc>
          <w:tcPr>
            <w:tcW w:w="84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Net operating loss carryforwards</w:t>
            </w:r>
          </w:p>
        </w:tc>
        <w:tc>
          <w:tcPr>
            <w:tcW w:w="8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144.7</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142.9</w:t>
            </w:r>
          </w:p>
        </w:tc>
      </w:tr>
      <w:tr>
        <w:trPr>
          <w:trHeight w:val="209"/>
        </w:trPr>
        <w:tc>
          <w:tcPr>
            <w:tcW w:w="8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Allowance for bad debts</w:t>
            </w: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0.9</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1.1</w:t>
            </w:r>
          </w:p>
        </w:tc>
      </w:tr>
      <w:tr>
        <w:trPr>
          <w:trHeight w:val="203"/>
        </w:trPr>
        <w:tc>
          <w:tcPr>
            <w:tcW w:w="84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Capital loss carryforwards</w:t>
            </w:r>
          </w:p>
        </w:tc>
        <w:tc>
          <w:tcPr>
            <w:tcW w:w="840" w:type="dxa"/>
            <w:vAlign w:val="bottom"/>
          </w:tcPr>
          <w:p>
            <w:pPr>
              <w:spacing w:after="0"/>
              <w:rPr>
                <w:sz w:val="17"/>
                <w:szCs w:val="17"/>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tcPr>
          <w:p>
            <w:pPr>
              <w:spacing w:after="0"/>
              <w:rPr>
                <w:sz w:val="17"/>
                <w:szCs w:val="17"/>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3.3</w:t>
            </w:r>
          </w:p>
        </w:tc>
      </w:tr>
      <w:tr>
        <w:trPr>
          <w:trHeight w:val="209"/>
        </w:trPr>
        <w:tc>
          <w:tcPr>
            <w:tcW w:w="8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Section 163(j) interest</w:t>
            </w: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229.4</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191.6</w:t>
            </w:r>
          </w:p>
        </w:tc>
      </w:tr>
      <w:tr>
        <w:trPr>
          <w:trHeight w:val="203"/>
        </w:trPr>
        <w:tc>
          <w:tcPr>
            <w:tcW w:w="84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Interest rate derivative liability</w:t>
            </w:r>
          </w:p>
        </w:tc>
        <w:tc>
          <w:tcPr>
            <w:tcW w:w="8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2.5</w:t>
            </w:r>
          </w:p>
        </w:tc>
      </w:tr>
      <w:tr>
        <w:trPr>
          <w:trHeight w:val="209"/>
        </w:trPr>
        <w:tc>
          <w:tcPr>
            <w:tcW w:w="8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Right of use liability</w:t>
            </w: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45.4</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46.2</w:t>
            </w:r>
          </w:p>
        </w:tc>
      </w:tr>
      <w:tr>
        <w:trPr>
          <w:trHeight w:val="203"/>
        </w:trPr>
        <w:tc>
          <w:tcPr>
            <w:tcW w:w="84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Software development costs</w:t>
            </w:r>
          </w:p>
        </w:tc>
        <w:tc>
          <w:tcPr>
            <w:tcW w:w="840" w:type="dxa"/>
            <w:vAlign w:val="bottom"/>
          </w:tcPr>
          <w:p>
            <w:pPr>
              <w:spacing w:after="0"/>
              <w:rPr>
                <w:sz w:val="17"/>
                <w:szCs w:val="17"/>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tcPr>
          <w:p>
            <w:pPr>
              <w:spacing w:after="0"/>
              <w:rPr>
                <w:sz w:val="17"/>
                <w:szCs w:val="17"/>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2.1</w:t>
            </w:r>
          </w:p>
        </w:tc>
      </w:tr>
      <w:tr>
        <w:trPr>
          <w:trHeight w:val="209"/>
        </w:trPr>
        <w:tc>
          <w:tcPr>
            <w:tcW w:w="8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Other deferred assets</w:t>
            </w:r>
          </w:p>
        </w:tc>
        <w:tc>
          <w:tcPr>
            <w:tcW w:w="8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11.2</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9.9</w:t>
            </w:r>
          </w:p>
        </w:tc>
      </w:tr>
      <w:tr>
        <w:trPr>
          <w:trHeight w:val="196"/>
        </w:trPr>
        <w:tc>
          <w:tcPr>
            <w:tcW w:w="840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Total gross deferred tax assets</w:t>
            </w:r>
          </w:p>
        </w:tc>
        <w:tc>
          <w:tcPr>
            <w:tcW w:w="8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440.2</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403.6</w:t>
            </w:r>
          </w:p>
        </w:tc>
      </w:tr>
      <w:tr>
        <w:trPr>
          <w:trHeight w:val="209"/>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Less: Valuation allowance</w:t>
            </w:r>
          </w:p>
        </w:tc>
        <w:tc>
          <w:tcPr>
            <w:tcW w:w="8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(317.9)</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(284.7)</w:t>
            </w:r>
          </w:p>
        </w:tc>
      </w:tr>
      <w:tr>
        <w:trPr>
          <w:trHeight w:val="196"/>
        </w:trPr>
        <w:tc>
          <w:tcPr>
            <w:tcW w:w="840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Total deferred tax assets</w:t>
            </w:r>
          </w:p>
        </w:tc>
        <w:tc>
          <w:tcPr>
            <w:tcW w:w="8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122.3</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118.9</w:t>
            </w:r>
          </w:p>
        </w:tc>
      </w:tr>
      <w:tr>
        <w:trPr>
          <w:trHeight w:val="209"/>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Deferred tax liabilities:</w:t>
            </w: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03"/>
        </w:trPr>
        <w:tc>
          <w:tcPr>
            <w:tcW w:w="84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Depreciation on property and equipment</w:t>
            </w:r>
          </w:p>
        </w:tc>
        <w:tc>
          <w:tcPr>
            <w:tcW w:w="8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(0.7)</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w:t>
            </w:r>
          </w:p>
        </w:tc>
      </w:tr>
      <w:tr>
        <w:trPr>
          <w:trHeight w:val="209"/>
        </w:trPr>
        <w:tc>
          <w:tcPr>
            <w:tcW w:w="8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Basis differences of partnerships and joint ventures</w:t>
            </w: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(130.5)</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(106.7)</w:t>
            </w:r>
          </w:p>
        </w:tc>
      </w:tr>
      <w:tr>
        <w:trPr>
          <w:trHeight w:val="203"/>
        </w:trPr>
        <w:tc>
          <w:tcPr>
            <w:tcW w:w="84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Right of use asset</w:t>
            </w:r>
          </w:p>
        </w:tc>
        <w:tc>
          <w:tcPr>
            <w:tcW w:w="8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(30.9)</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(36.8)</w:t>
            </w:r>
          </w:p>
        </w:tc>
      </w:tr>
      <w:tr>
        <w:trPr>
          <w:trHeight w:val="209"/>
        </w:trPr>
        <w:tc>
          <w:tcPr>
            <w:tcW w:w="8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Deferred financing costs</w:t>
            </w: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w:t>
            </w:r>
          </w:p>
        </w:tc>
      </w:tr>
      <w:tr>
        <w:trPr>
          <w:trHeight w:val="203"/>
        </w:trPr>
        <w:tc>
          <w:tcPr>
            <w:tcW w:w="84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Amortization of intangible assets</w:t>
            </w:r>
          </w:p>
        </w:tc>
        <w:tc>
          <w:tcPr>
            <w:tcW w:w="8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w:t>
            </w:r>
          </w:p>
        </w:tc>
      </w:tr>
      <w:tr>
        <w:trPr>
          <w:trHeight w:val="209"/>
        </w:trPr>
        <w:tc>
          <w:tcPr>
            <w:tcW w:w="8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Interest rate derivative asset</w:t>
            </w:r>
          </w:p>
        </w:tc>
        <w:tc>
          <w:tcPr>
            <w:tcW w:w="8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w:t>
            </w:r>
          </w:p>
        </w:tc>
      </w:tr>
      <w:tr>
        <w:trPr>
          <w:trHeight w:val="203"/>
        </w:trPr>
        <w:tc>
          <w:tcPr>
            <w:tcW w:w="84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Accrued vacation and incentive compensation</w:t>
            </w:r>
          </w:p>
        </w:tc>
        <w:tc>
          <w:tcPr>
            <w:tcW w:w="8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r>
      <w:tr>
        <w:trPr>
          <w:trHeight w:val="209"/>
        </w:trPr>
        <w:tc>
          <w:tcPr>
            <w:tcW w:w="8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Other deferred liabilities</w:t>
            </w:r>
          </w:p>
        </w:tc>
        <w:tc>
          <w:tcPr>
            <w:tcW w:w="8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w:t>
            </w:r>
          </w:p>
        </w:tc>
      </w:tr>
      <w:tr>
        <w:trPr>
          <w:trHeight w:val="196"/>
        </w:trPr>
        <w:tc>
          <w:tcPr>
            <w:tcW w:w="840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5"/>
                <w:szCs w:val="15"/>
                <w:color w:val="auto"/>
              </w:rPr>
              <w:t>Total deferred tax liabilities</w:t>
            </w:r>
          </w:p>
        </w:tc>
        <w:tc>
          <w:tcPr>
            <w:tcW w:w="8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(175.7)</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(158.1)</w:t>
            </w:r>
          </w:p>
        </w:tc>
      </w:tr>
      <w:tr>
        <w:trPr>
          <w:trHeight w:val="227"/>
        </w:trPr>
        <w:tc>
          <w:tcPr>
            <w:tcW w:w="84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Net deferred tax liabilities</w:t>
            </w:r>
          </w:p>
        </w:tc>
        <w:tc>
          <w:tcPr>
            <w:tcW w:w="840" w:type="dxa"/>
            <w:vAlign w:val="bottom"/>
            <w:tcBorders>
              <w:bottom w:val="single" w:sz="8" w:color="auto"/>
            </w:tcBorders>
            <w:shd w:val="clear" w:color="auto" w:fill="CCEEFF"/>
          </w:tcPr>
          <w:p>
            <w:pPr>
              <w:jc w:val="right"/>
              <w:ind w:right="666"/>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(53.4)</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63"/>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(39.2)</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jc w:val="both"/>
        <w:ind w:firstLine="309"/>
        <w:spacing w:after="0" w:line="270" w:lineRule="auto"/>
        <w:rPr>
          <w:sz w:val="20"/>
          <w:szCs w:val="20"/>
          <w:color w:val="auto"/>
        </w:rPr>
      </w:pPr>
      <w:r>
        <w:rPr>
          <w:rFonts w:ascii="Times New Roman" w:cs="Times New Roman" w:eastAsia="Times New Roman" w:hAnsi="Times New Roman"/>
          <w:sz w:val="15"/>
          <w:szCs w:val="15"/>
          <w:color w:val="auto"/>
        </w:rPr>
        <w:t>The Company had federal NOL carryforwards of $532.4 million as of December 31, 2025, of which $424.6 million expire between 2031 and 2037. The remaining federal NOL carryforwards, which were generated after 2017, do not expire. The Company had state NOL carryforwards of $657.1 million as of December 31, 2025, which expire between 2026 and 2045. The Company had federal Section 163(j) interest limitation carryforwards of $961.5 million as of December 31, 2025, which do not expire.</w:t>
      </w:r>
    </w:p>
    <w:p>
      <w:pPr>
        <w:spacing w:after="0" w:line="75" w:lineRule="exact"/>
        <w:rPr>
          <w:sz w:val="20"/>
          <w:szCs w:val="20"/>
          <w:color w:val="auto"/>
        </w:rPr>
      </w:pPr>
    </w:p>
    <w:p>
      <w:pPr>
        <w:jc w:val="both"/>
        <w:ind w:firstLine="309"/>
        <w:spacing w:after="0" w:line="289" w:lineRule="auto"/>
        <w:rPr>
          <w:sz w:val="20"/>
          <w:szCs w:val="20"/>
          <w:color w:val="auto"/>
        </w:rPr>
      </w:pPr>
      <w:r>
        <w:rPr>
          <w:rFonts w:ascii="Times New Roman" w:cs="Times New Roman" w:eastAsia="Times New Roman" w:hAnsi="Times New Roman"/>
          <w:sz w:val="15"/>
          <w:szCs w:val="15"/>
          <w:color w:val="auto"/>
        </w:rPr>
        <w:t>The Company recorded a valuation allowance against deferred tax assets at December 31, 2025 and 2024 totaling $317.9 million and $284.7 million, respectively, which represents an increase of $33.2 million. The increase relates to recording valuation allowance on Section 163(j) interest carry-forward generated during 2025.</w:t>
      </w:r>
    </w:p>
    <w:p>
      <w:pPr>
        <w:spacing w:after="0" w:line="62" w:lineRule="exact"/>
        <w:rPr>
          <w:sz w:val="20"/>
          <w:szCs w:val="20"/>
          <w:color w:val="auto"/>
        </w:rPr>
      </w:pPr>
    </w:p>
    <w:p>
      <w:pPr>
        <w:jc w:val="both"/>
        <w:ind w:firstLine="309"/>
        <w:spacing w:after="0" w:line="289" w:lineRule="auto"/>
        <w:rPr>
          <w:sz w:val="20"/>
          <w:szCs w:val="20"/>
          <w:color w:val="auto"/>
        </w:rPr>
      </w:pPr>
      <w:r>
        <w:rPr>
          <w:rFonts w:ascii="Times New Roman" w:cs="Times New Roman" w:eastAsia="Times New Roman" w:hAnsi="Times New Roman"/>
          <w:sz w:val="15"/>
          <w:szCs w:val="15"/>
          <w:color w:val="auto"/>
        </w:rPr>
        <w:t>The Company, or one or more of its subsidiaries, files income tax returns in the U.S. federal jurisdiction and various state jurisdictions. With few exceptions, the Company is no longer subject to U.S. federal income tax examinations for years prior to 2022 or state income tax examinations for years prior to 2021.</w:t>
      </w:r>
    </w:p>
    <w:p>
      <w:pPr>
        <w:spacing w:after="0" w:line="49" w:lineRule="exact"/>
        <w:rPr>
          <w:sz w:val="20"/>
          <w:szCs w:val="20"/>
          <w:color w:val="auto"/>
        </w:rPr>
      </w:pPr>
    </w:p>
    <w:p>
      <w:pPr>
        <w:jc w:val="both"/>
        <w:ind w:firstLine="309"/>
        <w:spacing w:after="0" w:line="275" w:lineRule="auto"/>
        <w:rPr>
          <w:sz w:val="20"/>
          <w:szCs w:val="20"/>
          <w:color w:val="auto"/>
        </w:rPr>
      </w:pPr>
      <w:r>
        <w:rPr>
          <w:rFonts w:ascii="Times New Roman" w:cs="Times New Roman" w:eastAsia="Times New Roman" w:hAnsi="Times New Roman"/>
          <w:sz w:val="15"/>
          <w:szCs w:val="15"/>
          <w:color w:val="auto"/>
        </w:rPr>
        <w:t>The Company made income tax payments of $1.2 million, $1.6 million and $1.4 million for the years ended December 31, 2025, 2024 and 2023, respectively. In each of these periods the income tax payments related to states in which the Company does not have a NOL to offset taxable income. During the years ended December 31, 2025, 2024 and 2023, the Company made no federal income tax payments due to utilization of its NOL carryforwards. The Company paid state income taxes of $1.0 million to Texas for the year ended December 31, 2025.</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3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2"/>
          <w:szCs w:val="12"/>
          <w:b w:val="1"/>
          <w:bCs w:val="1"/>
          <w:u w:val="single" w:color="auto"/>
          <w:color w:val="0000FF"/>
        </w:rPr>
        <w:t>Table of Contents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SURGERY PARTNERS, INC.</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A reconciliation of the beginning and ending liability for gross unrecognized tax benefits for the years ended December 31, 2025, 2024 and 2023 is as follows (in millions):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9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2"/>
        </w:trPr>
        <w:tc>
          <w:tcPr>
            <w:tcW w:w="69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81"/>
        </w:trPr>
        <w:tc>
          <w:tcPr>
            <w:tcW w:w="6980" w:type="dxa"/>
            <w:vAlign w:val="bottom"/>
          </w:tcPr>
          <w:p>
            <w:pPr>
              <w:spacing w:after="0"/>
              <w:rPr>
                <w:sz w:val="15"/>
                <w:szCs w:val="15"/>
                <w:color w:val="auto"/>
              </w:rPr>
            </w:pPr>
          </w:p>
        </w:tc>
        <w:tc>
          <w:tcPr>
            <w:tcW w:w="98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6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89"/>
        </w:trPr>
        <w:tc>
          <w:tcPr>
            <w:tcW w:w="6980" w:type="dxa"/>
            <w:vAlign w:val="bottom"/>
          </w:tcPr>
          <w:p>
            <w:pPr>
              <w:spacing w:after="0"/>
              <w:rPr>
                <w:sz w:val="7"/>
                <w:szCs w:val="7"/>
                <w:color w:val="auto"/>
              </w:rPr>
            </w:pPr>
          </w:p>
        </w:tc>
        <w:tc>
          <w:tcPr>
            <w:tcW w:w="9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40" w:type="dxa"/>
            <w:vAlign w:val="bottom"/>
          </w:tcPr>
          <w:p>
            <w:pPr>
              <w:spacing w:after="0"/>
              <w:rPr>
                <w:sz w:val="7"/>
                <w:szCs w:val="7"/>
                <w:color w:val="auto"/>
              </w:rPr>
            </w:pPr>
          </w:p>
        </w:tc>
      </w:tr>
      <w:tr>
        <w:trPr>
          <w:trHeight w:val="206"/>
        </w:trPr>
        <w:tc>
          <w:tcPr>
            <w:tcW w:w="69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Unrecognized tax benefits at beginning of year</w:t>
            </w:r>
          </w:p>
        </w:tc>
        <w:tc>
          <w:tcPr>
            <w:tcW w:w="980" w:type="dxa"/>
            <w:vAlign w:val="bottom"/>
            <w:shd w:val="clear" w:color="auto" w:fill="CCEEFF"/>
          </w:tcPr>
          <w:p>
            <w:pPr>
              <w:jc w:val="right"/>
              <w:ind w:right="806"/>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w:t>
            </w:r>
          </w:p>
        </w:tc>
      </w:tr>
      <w:tr>
        <w:trPr>
          <w:trHeight w:val="203"/>
        </w:trPr>
        <w:tc>
          <w:tcPr>
            <w:tcW w:w="698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Additions for tax provisions of the current year</w:t>
            </w:r>
          </w:p>
        </w:tc>
        <w:tc>
          <w:tcPr>
            <w:tcW w:w="980" w:type="dxa"/>
            <w:vAlign w:val="bottom"/>
          </w:tcPr>
          <w:p>
            <w:pPr>
              <w:spacing w:after="0"/>
              <w:rPr>
                <w:sz w:val="17"/>
                <w:szCs w:val="17"/>
                <w:color w:val="auto"/>
              </w:rPr>
            </w:pPr>
          </w:p>
        </w:tc>
        <w:tc>
          <w:tcPr>
            <w:tcW w:w="48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1280" w:type="dxa"/>
            <w:vAlign w:val="bottom"/>
            <w:gridSpan w:val="2"/>
          </w:tcPr>
          <w:p>
            <w:pPr>
              <w:ind w:left="94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9"/>
        </w:trPr>
        <w:tc>
          <w:tcPr>
            <w:tcW w:w="6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Additions for acquired positions</w:t>
            </w:r>
          </w:p>
        </w:tc>
        <w:tc>
          <w:tcPr>
            <w:tcW w:w="9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3"/>
        </w:trPr>
        <w:tc>
          <w:tcPr>
            <w:tcW w:w="698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Additions for tax positions of prior years</w:t>
            </w:r>
          </w:p>
        </w:tc>
        <w:tc>
          <w:tcPr>
            <w:tcW w:w="980" w:type="dxa"/>
            <w:vAlign w:val="bottom"/>
          </w:tcPr>
          <w:p>
            <w:pPr>
              <w:spacing w:after="0"/>
              <w:rPr>
                <w:sz w:val="17"/>
                <w:szCs w:val="17"/>
                <w:color w:val="auto"/>
              </w:rPr>
            </w:pPr>
          </w:p>
        </w:tc>
        <w:tc>
          <w:tcPr>
            <w:tcW w:w="48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1280" w:type="dxa"/>
            <w:vAlign w:val="bottom"/>
            <w:gridSpan w:val="2"/>
          </w:tcPr>
          <w:p>
            <w:pPr>
              <w:ind w:left="94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9"/>
        </w:trPr>
        <w:tc>
          <w:tcPr>
            <w:tcW w:w="6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Reductions for tax positions of prior years</w:t>
            </w:r>
          </w:p>
        </w:tc>
        <w:tc>
          <w:tcPr>
            <w:tcW w:w="9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w:t>
            </w:r>
          </w:p>
        </w:tc>
      </w:tr>
      <w:tr>
        <w:trPr>
          <w:trHeight w:val="203"/>
        </w:trPr>
        <w:tc>
          <w:tcPr>
            <w:tcW w:w="69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5"/>
                <w:szCs w:val="15"/>
                <w:color w:val="auto"/>
              </w:rPr>
              <w:t>Reductions for statute of limitations expirations</w:t>
            </w:r>
          </w:p>
        </w:tc>
        <w:tc>
          <w:tcPr>
            <w:tcW w:w="98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22"/>
        </w:trPr>
        <w:tc>
          <w:tcPr>
            <w:tcW w:w="69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Unrecognized tax benefits at end of year</w:t>
            </w:r>
          </w:p>
        </w:tc>
        <w:tc>
          <w:tcPr>
            <w:tcW w:w="980" w:type="dxa"/>
            <w:vAlign w:val="bottom"/>
            <w:shd w:val="clear" w:color="auto" w:fill="CCEEFF"/>
          </w:tcPr>
          <w:p>
            <w:pPr>
              <w:jc w:val="right"/>
              <w:ind w:right="806"/>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jc w:val="both"/>
        <w:ind w:firstLine="309"/>
        <w:spacing w:after="0" w:line="289" w:lineRule="auto"/>
        <w:rPr>
          <w:sz w:val="20"/>
          <w:szCs w:val="20"/>
          <w:color w:val="auto"/>
        </w:rPr>
      </w:pPr>
      <w:r>
        <w:rPr>
          <w:rFonts w:ascii="Times New Roman" w:cs="Times New Roman" w:eastAsia="Times New Roman" w:hAnsi="Times New Roman"/>
          <w:sz w:val="15"/>
          <w:szCs w:val="15"/>
          <w:color w:val="auto"/>
        </w:rPr>
        <w:t>The Company recognizes interest and penalties related to uncertain tax positions in its provision for income taxes in the consolidated statements of operations. For the years ended December 31, 2025 and 2024, the Company had no accrued interest and penalties related to uncertain tax positions.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10. Equity-Based Compensation</w:t>
      </w:r>
    </w:p>
    <w:p>
      <w:pPr>
        <w:spacing w:after="0" w:line="128" w:lineRule="exact"/>
        <w:rPr>
          <w:sz w:val="20"/>
          <w:szCs w:val="20"/>
          <w:color w:val="auto"/>
        </w:rPr>
      </w:pPr>
    </w:p>
    <w:p>
      <w:pPr>
        <w:jc w:val="both"/>
        <w:ind w:firstLine="309"/>
        <w:spacing w:after="0" w:line="265" w:lineRule="auto"/>
        <w:rPr>
          <w:sz w:val="20"/>
          <w:szCs w:val="20"/>
          <w:color w:val="auto"/>
        </w:rPr>
      </w:pPr>
      <w:r>
        <w:rPr>
          <w:rFonts w:ascii="Times New Roman" w:cs="Times New Roman" w:eastAsia="Times New Roman" w:hAnsi="Times New Roman"/>
          <w:sz w:val="15"/>
          <w:szCs w:val="15"/>
          <w:color w:val="auto"/>
        </w:rPr>
        <w:t>On June 10, 2025, the Company's stockholders approved the Surgery Partners, Inc. 2025 Omnibus Incentive Plan ("2025 Omnibus Incentive Plan"), which replaced the Surgery Partners, Inc. 2015 Omnibus Incentive Plan, as amended and restated effective January 1, 2020 ("2015 Omnibus Incentive Plan"). Under the 2025 Omnibus Incentive Plan, the Company can grant stock options, stock appreciation rights, restricted stock, unrestricted stock, stock units, performance awards, cash awards and other awards convertible into or otherwise based on shares of its common stock. As of December 31, 2025, 5,000,000 shares were authorized to be granted under the 2025 Omnibus Incentive Plan and 4,822,458 were available for future equity grants.</w:t>
      </w:r>
    </w:p>
    <w:p>
      <w:pPr>
        <w:spacing w:after="0" w:line="79" w:lineRule="exact"/>
        <w:rPr>
          <w:sz w:val="20"/>
          <w:szCs w:val="20"/>
          <w:color w:val="auto"/>
        </w:rPr>
      </w:pPr>
    </w:p>
    <w:p>
      <w:pPr>
        <w:jc w:val="both"/>
        <w:ind w:firstLine="309"/>
        <w:spacing w:after="0" w:line="279" w:lineRule="auto"/>
        <w:rPr>
          <w:sz w:val="20"/>
          <w:szCs w:val="20"/>
          <w:color w:val="auto"/>
        </w:rPr>
      </w:pPr>
      <w:r>
        <w:rPr>
          <w:rFonts w:ascii="Times New Roman" w:cs="Times New Roman" w:eastAsia="Times New Roman" w:hAnsi="Times New Roman"/>
          <w:sz w:val="15"/>
          <w:szCs w:val="15"/>
          <w:color w:val="auto"/>
        </w:rPr>
        <w:t>Following approval of the 2025 Omnibus Incentive Plan, no further awards can be granted under the 2015 Omnibus Incentive Plan. However, awards granted prior to June 10, 2025 remain outstanding and continue to vest in accordance with their original terms. Shares subject to awards outstanding under the 2015 Omnibus Incentive Plan that are forfeited or expire are not available for reissuance.</w:t>
      </w:r>
    </w:p>
    <w:p>
      <w:pPr>
        <w:spacing w:after="0" w:line="56" w:lineRule="exact"/>
        <w:rPr>
          <w:sz w:val="20"/>
          <w:szCs w:val="20"/>
          <w:color w:val="auto"/>
        </w:rPr>
      </w:pPr>
    </w:p>
    <w:p>
      <w:pPr>
        <w:jc w:val="both"/>
        <w:ind w:firstLine="309"/>
        <w:spacing w:after="0" w:line="279" w:lineRule="auto"/>
        <w:rPr>
          <w:sz w:val="20"/>
          <w:szCs w:val="20"/>
          <w:color w:val="auto"/>
        </w:rPr>
      </w:pPr>
      <w:r>
        <w:rPr>
          <w:rFonts w:ascii="Times New Roman" w:cs="Times New Roman" w:eastAsia="Times New Roman" w:hAnsi="Times New Roman"/>
          <w:sz w:val="15"/>
          <w:szCs w:val="15"/>
          <w:color w:val="auto"/>
        </w:rPr>
        <w:t>The terms of equity-based awards, including vesting conditions, are determined by the Compensation Committee and set forth in the applicable award agreements at the time of issuance. In general, vesting is contingent upon either a service, performance or market condition (or a combination thereof). Accelerated vesting for earned shares may occur upon certain terminating events, including a change in control of the Company.</w:t>
      </w:r>
    </w:p>
    <w:p>
      <w:pPr>
        <w:spacing w:after="0" w:line="56" w:lineRule="exact"/>
        <w:rPr>
          <w:sz w:val="20"/>
          <w:szCs w:val="20"/>
          <w:color w:val="auto"/>
        </w:rPr>
      </w:pPr>
    </w:p>
    <w:p>
      <w:pPr>
        <w:jc w:val="both"/>
        <w:ind w:firstLine="309"/>
        <w:spacing w:after="0" w:line="292" w:lineRule="auto"/>
        <w:rPr>
          <w:sz w:val="20"/>
          <w:szCs w:val="20"/>
          <w:color w:val="auto"/>
        </w:rPr>
      </w:pPr>
      <w:r>
        <w:rPr>
          <w:rFonts w:ascii="Times New Roman" w:cs="Times New Roman" w:eastAsia="Times New Roman" w:hAnsi="Times New Roman"/>
          <w:sz w:val="15"/>
          <w:szCs w:val="15"/>
          <w:color w:val="auto"/>
        </w:rPr>
        <w:t>The Company measures the fair value of equity-based awards on the date of grant, with associated compensation costs recognized over the requisite service period, net of forfeitures as they occur. The Company’s policy is to recognize compensation expense using the straight line method over the relevant vesting period for units that vest based on time.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Restricted and Performance Share-Based Awards</w:t>
      </w:r>
    </w:p>
    <w:p>
      <w:pPr>
        <w:spacing w:after="0" w:line="128" w:lineRule="exact"/>
        <w:rPr>
          <w:sz w:val="20"/>
          <w:szCs w:val="20"/>
          <w:color w:val="auto"/>
        </w:rPr>
      </w:pPr>
    </w:p>
    <w:p>
      <w:pPr>
        <w:jc w:val="both"/>
        <w:ind w:firstLine="309"/>
        <w:spacing w:after="0" w:line="289" w:lineRule="auto"/>
        <w:rPr>
          <w:sz w:val="20"/>
          <w:szCs w:val="20"/>
          <w:color w:val="auto"/>
        </w:rPr>
      </w:pPr>
      <w:r>
        <w:rPr>
          <w:rFonts w:ascii="Times New Roman" w:cs="Times New Roman" w:eastAsia="Times New Roman" w:hAnsi="Times New Roman"/>
          <w:sz w:val="15"/>
          <w:szCs w:val="15"/>
          <w:color w:val="auto"/>
        </w:rPr>
        <w:t>During the years ended December 31, 2025 and 2024, the Company granted restricted stock awards ("RSAs") of 756,804 and 410,057, respectively, to certain officers, employees and non-employee directors. In general, RSAs vest ratably over a one to three-year service period, contingent upon continued employment or service to the Company.</w:t>
      </w:r>
    </w:p>
    <w:p>
      <w:pPr>
        <w:spacing w:after="0" w:line="62" w:lineRule="exact"/>
        <w:rPr>
          <w:sz w:val="20"/>
          <w:szCs w:val="20"/>
          <w:color w:val="auto"/>
        </w:rPr>
      </w:pPr>
    </w:p>
    <w:p>
      <w:pPr>
        <w:jc w:val="both"/>
        <w:ind w:firstLine="309"/>
        <w:spacing w:after="0" w:line="265" w:lineRule="auto"/>
        <w:rPr>
          <w:sz w:val="20"/>
          <w:szCs w:val="20"/>
          <w:color w:val="auto"/>
        </w:rPr>
      </w:pPr>
      <w:r>
        <w:rPr>
          <w:rFonts w:ascii="Times New Roman" w:cs="Times New Roman" w:eastAsia="Times New Roman" w:hAnsi="Times New Roman"/>
          <w:sz w:val="15"/>
          <w:szCs w:val="15"/>
          <w:color w:val="auto"/>
        </w:rPr>
        <w:t>During the years ended December 31, 2025 and 2024, the Company granted performance-based restricted stock units ("PSUs") of 750,335 and 399,745, respectively, which were subject to the achievement of various performance conditions. The performance period for these PSUs is generally one year from the date of grant, with ratable vesting continuing for three years after the date of grant or a one-time cliff vesting. In addition to the achievement of the performance conditions, these PSUs are generally subject to the continuing service of the employee over the vesting periods. For certain PSUs awarded to officers of the Company, the number of shares payable at the end of the performance periods ranges from 0% to 300% of the targeted units based on the Company’s actual performance results and/or market conditions as compared to the targets.</w:t>
      </w:r>
    </w:p>
    <w:p>
      <w:pPr>
        <w:spacing w:after="0" w:line="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During the years ended December 31, 2025 and 2024, 503,708 and 123,742 of the PSUs previously granted were deemed to have been earned,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3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2"/>
          <w:szCs w:val="12"/>
          <w:b w:val="1"/>
          <w:bCs w:val="1"/>
          <w:u w:val="single" w:color="auto"/>
          <w:color w:val="0000FF"/>
        </w:rPr>
        <w:t>Table of Contents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SURGERY PARTNERS, INC.</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Restricted and Performance Share-Based Activity</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A summary of non-vested restricted share-based activity for the years ended December 31, 2025, 2024, and 2023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3"/>
                <w:szCs w:val="13"/>
                <w:color w:val="auto"/>
              </w:rPr>
            </w:pPr>
          </w:p>
        </w:tc>
        <w:tc>
          <w:tcPr>
            <w:tcW w:w="1460" w:type="dxa"/>
            <w:vAlign w:val="bottom"/>
            <w:vMerge w:val="restart"/>
          </w:tcPr>
          <w:p>
            <w:pPr>
              <w:jc w:val="right"/>
              <w:ind w:right="163"/>
              <w:spacing w:after="0"/>
              <w:rPr>
                <w:sz w:val="20"/>
                <w:szCs w:val="20"/>
                <w:color w:val="auto"/>
              </w:rPr>
            </w:pPr>
            <w:r>
              <w:rPr>
                <w:rFonts w:ascii="Times New Roman" w:cs="Times New Roman" w:eastAsia="Times New Roman" w:hAnsi="Times New Roman"/>
                <w:sz w:val="14"/>
                <w:szCs w:val="14"/>
                <w:b w:val="1"/>
                <w:bCs w:val="1"/>
                <w:color w:val="auto"/>
              </w:rPr>
              <w:t>Unvested Shares</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tcPr>
          <w:p>
            <w:pPr>
              <w:jc w:val="right"/>
              <w:ind w:right="103"/>
              <w:spacing w:after="0"/>
              <w:rPr>
                <w:sz w:val="20"/>
                <w:szCs w:val="20"/>
                <w:color w:val="auto"/>
              </w:rPr>
            </w:pPr>
            <w:r>
              <w:rPr>
                <w:rFonts w:ascii="Times New Roman" w:cs="Times New Roman" w:eastAsia="Times New Roman" w:hAnsi="Times New Roman"/>
                <w:sz w:val="14"/>
                <w:szCs w:val="14"/>
                <w:b w:val="1"/>
                <w:bCs w:val="1"/>
                <w:color w:val="auto"/>
                <w:w w:val="99"/>
              </w:rPr>
              <w:t>Weighted Average</w:t>
            </w:r>
          </w:p>
        </w:tc>
        <w:tc>
          <w:tcPr>
            <w:tcW w:w="0" w:type="dxa"/>
            <w:vAlign w:val="bottom"/>
          </w:tcPr>
          <w:p>
            <w:pPr>
              <w:spacing w:after="0"/>
              <w:rPr>
                <w:sz w:val="1"/>
                <w:szCs w:val="1"/>
                <w:color w:val="auto"/>
              </w:rPr>
            </w:pPr>
          </w:p>
        </w:tc>
      </w:tr>
      <w:tr>
        <w:trPr>
          <w:trHeight w:val="187"/>
        </w:trPr>
        <w:tc>
          <w:tcPr>
            <w:tcW w:w="818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c>
          <w:tcPr>
            <w:tcW w:w="0" w:type="dxa"/>
            <w:vAlign w:val="bottom"/>
          </w:tcPr>
          <w:p>
            <w:pPr>
              <w:spacing w:after="0"/>
              <w:rPr>
                <w:sz w:val="1"/>
                <w:szCs w:val="1"/>
                <w:color w:val="auto"/>
              </w:rPr>
            </w:pPr>
          </w:p>
        </w:tc>
      </w:tr>
      <w:tr>
        <w:trPr>
          <w:trHeight w:val="204"/>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Outstanding at December 31, 2022</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995,413</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23.87</w:t>
            </w:r>
          </w:p>
        </w:tc>
        <w:tc>
          <w:tcPr>
            <w:tcW w:w="0" w:type="dxa"/>
            <w:vAlign w:val="bottom"/>
          </w:tcPr>
          <w:p>
            <w:pPr>
              <w:spacing w:after="0"/>
              <w:rPr>
                <w:sz w:val="1"/>
                <w:szCs w:val="1"/>
                <w:color w:val="auto"/>
              </w:rPr>
            </w:pPr>
          </w:p>
        </w:tc>
      </w:tr>
      <w:tr>
        <w:trPr>
          <w:trHeight w:val="203"/>
        </w:trPr>
        <w:tc>
          <w:tcPr>
            <w:tcW w:w="818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Granted/Earned</w:t>
            </w: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579,910</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32.54</w:t>
            </w:r>
          </w:p>
        </w:tc>
        <w:tc>
          <w:tcPr>
            <w:tcW w:w="0" w:type="dxa"/>
            <w:vAlign w:val="bottom"/>
          </w:tcPr>
          <w:p>
            <w:pPr>
              <w:spacing w:after="0"/>
              <w:rPr>
                <w:sz w:val="1"/>
                <w:szCs w:val="1"/>
                <w:color w:val="auto"/>
              </w:rPr>
            </w:pPr>
          </w:p>
        </w:tc>
      </w:tr>
      <w:tr>
        <w:trPr>
          <w:trHeight w:val="209"/>
        </w:trPr>
        <w:tc>
          <w:tcPr>
            <w:tcW w:w="8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Forfeited/Cancelled</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(50,158)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35.14</w:t>
            </w:r>
          </w:p>
        </w:tc>
        <w:tc>
          <w:tcPr>
            <w:tcW w:w="0" w:type="dxa"/>
            <w:vAlign w:val="bottom"/>
          </w:tcPr>
          <w:p>
            <w:pPr>
              <w:spacing w:after="0"/>
              <w:rPr>
                <w:sz w:val="1"/>
                <w:szCs w:val="1"/>
                <w:color w:val="auto"/>
              </w:rPr>
            </w:pPr>
          </w:p>
        </w:tc>
      </w:tr>
      <w:tr>
        <w:trPr>
          <w:trHeight w:val="203"/>
        </w:trPr>
        <w:tc>
          <w:tcPr>
            <w:tcW w:w="81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5"/>
                <w:szCs w:val="15"/>
                <w:color w:val="auto"/>
              </w:rPr>
              <w:t>Vested</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(794,315)</w:t>
            </w:r>
          </w:p>
        </w:tc>
        <w:tc>
          <w:tcPr>
            <w:tcW w:w="14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3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5"/>
                <w:szCs w:val="15"/>
                <w:color w:val="auto"/>
              </w:rPr>
              <w:t>32.55</w:t>
            </w:r>
          </w:p>
        </w:tc>
        <w:tc>
          <w:tcPr>
            <w:tcW w:w="0" w:type="dxa"/>
            <w:vAlign w:val="bottom"/>
          </w:tcPr>
          <w:p>
            <w:pPr>
              <w:spacing w:after="0"/>
              <w:rPr>
                <w:sz w:val="1"/>
                <w:szCs w:val="1"/>
                <w:color w:val="auto"/>
              </w:rPr>
            </w:pPr>
          </w:p>
        </w:tc>
      </w:tr>
      <w:tr>
        <w:trPr>
          <w:trHeight w:val="202"/>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Outstanding at December 31, 2023</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730,850</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38.10</w:t>
            </w:r>
          </w:p>
        </w:tc>
        <w:tc>
          <w:tcPr>
            <w:tcW w:w="0" w:type="dxa"/>
            <w:vAlign w:val="bottom"/>
          </w:tcPr>
          <w:p>
            <w:pPr>
              <w:spacing w:after="0"/>
              <w:rPr>
                <w:sz w:val="1"/>
                <w:szCs w:val="1"/>
                <w:color w:val="auto"/>
              </w:rPr>
            </w:pPr>
          </w:p>
        </w:tc>
      </w:tr>
      <w:tr>
        <w:trPr>
          <w:trHeight w:val="203"/>
        </w:trPr>
        <w:tc>
          <w:tcPr>
            <w:tcW w:w="818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Granted/Earned</w:t>
            </w: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533,799</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30.85</w:t>
            </w:r>
          </w:p>
        </w:tc>
        <w:tc>
          <w:tcPr>
            <w:tcW w:w="0" w:type="dxa"/>
            <w:vAlign w:val="bottom"/>
          </w:tcPr>
          <w:p>
            <w:pPr>
              <w:spacing w:after="0"/>
              <w:rPr>
                <w:sz w:val="1"/>
                <w:szCs w:val="1"/>
                <w:color w:val="auto"/>
              </w:rPr>
            </w:pPr>
          </w:p>
        </w:tc>
      </w:tr>
      <w:tr>
        <w:trPr>
          <w:trHeight w:val="209"/>
        </w:trPr>
        <w:tc>
          <w:tcPr>
            <w:tcW w:w="8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Forfeited/Cancelled</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(48,002)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27.21</w:t>
            </w:r>
          </w:p>
        </w:tc>
        <w:tc>
          <w:tcPr>
            <w:tcW w:w="0" w:type="dxa"/>
            <w:vAlign w:val="bottom"/>
          </w:tcPr>
          <w:p>
            <w:pPr>
              <w:spacing w:after="0"/>
              <w:rPr>
                <w:sz w:val="1"/>
                <w:szCs w:val="1"/>
                <w:color w:val="auto"/>
              </w:rPr>
            </w:pPr>
          </w:p>
        </w:tc>
      </w:tr>
      <w:tr>
        <w:trPr>
          <w:trHeight w:val="203"/>
        </w:trPr>
        <w:tc>
          <w:tcPr>
            <w:tcW w:w="81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5"/>
                <w:szCs w:val="15"/>
                <w:color w:val="auto"/>
              </w:rPr>
              <w:t>Vested</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(329,813)</w:t>
            </w:r>
          </w:p>
        </w:tc>
        <w:tc>
          <w:tcPr>
            <w:tcW w:w="14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3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5"/>
                <w:szCs w:val="15"/>
                <w:color w:val="auto"/>
              </w:rPr>
              <w:t>30.81</w:t>
            </w:r>
          </w:p>
        </w:tc>
        <w:tc>
          <w:tcPr>
            <w:tcW w:w="0" w:type="dxa"/>
            <w:vAlign w:val="bottom"/>
          </w:tcPr>
          <w:p>
            <w:pPr>
              <w:spacing w:after="0"/>
              <w:rPr>
                <w:sz w:val="1"/>
                <w:szCs w:val="1"/>
                <w:color w:val="auto"/>
              </w:rPr>
            </w:pPr>
          </w:p>
        </w:tc>
      </w:tr>
      <w:tr>
        <w:trPr>
          <w:trHeight w:val="202"/>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Outstanding at December 31, 2024</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886,834</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33.36</w:t>
            </w:r>
          </w:p>
        </w:tc>
        <w:tc>
          <w:tcPr>
            <w:tcW w:w="0" w:type="dxa"/>
            <w:vAlign w:val="bottom"/>
          </w:tcPr>
          <w:p>
            <w:pPr>
              <w:spacing w:after="0"/>
              <w:rPr>
                <w:sz w:val="1"/>
                <w:szCs w:val="1"/>
                <w:color w:val="auto"/>
              </w:rPr>
            </w:pPr>
          </w:p>
        </w:tc>
      </w:tr>
      <w:tr>
        <w:trPr>
          <w:trHeight w:val="203"/>
        </w:trPr>
        <w:tc>
          <w:tcPr>
            <w:tcW w:w="818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Granted/Earned</w:t>
            </w: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1,327,814</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23.92</w:t>
            </w:r>
          </w:p>
        </w:tc>
        <w:tc>
          <w:tcPr>
            <w:tcW w:w="0" w:type="dxa"/>
            <w:vAlign w:val="bottom"/>
          </w:tcPr>
          <w:p>
            <w:pPr>
              <w:spacing w:after="0"/>
              <w:rPr>
                <w:sz w:val="1"/>
                <w:szCs w:val="1"/>
                <w:color w:val="auto"/>
              </w:rPr>
            </w:pPr>
          </w:p>
        </w:tc>
      </w:tr>
      <w:tr>
        <w:trPr>
          <w:trHeight w:val="209"/>
        </w:trPr>
        <w:tc>
          <w:tcPr>
            <w:tcW w:w="8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Forfeited/Cancelled</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(130,233)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21.83</w:t>
            </w:r>
          </w:p>
        </w:tc>
        <w:tc>
          <w:tcPr>
            <w:tcW w:w="0" w:type="dxa"/>
            <w:vAlign w:val="bottom"/>
          </w:tcPr>
          <w:p>
            <w:pPr>
              <w:spacing w:after="0"/>
              <w:rPr>
                <w:sz w:val="1"/>
                <w:szCs w:val="1"/>
                <w:color w:val="auto"/>
              </w:rPr>
            </w:pPr>
          </w:p>
        </w:tc>
      </w:tr>
      <w:tr>
        <w:trPr>
          <w:trHeight w:val="203"/>
        </w:trPr>
        <w:tc>
          <w:tcPr>
            <w:tcW w:w="81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5"/>
                <w:szCs w:val="15"/>
                <w:color w:val="auto"/>
              </w:rPr>
              <w:t>Vested</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(876,167)</w:t>
            </w:r>
          </w:p>
        </w:tc>
        <w:tc>
          <w:tcPr>
            <w:tcW w:w="14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3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5"/>
                <w:szCs w:val="15"/>
                <w:color w:val="auto"/>
              </w:rPr>
              <w:t>24.12</w:t>
            </w:r>
          </w:p>
        </w:tc>
        <w:tc>
          <w:tcPr>
            <w:tcW w:w="0" w:type="dxa"/>
            <w:vAlign w:val="bottom"/>
          </w:tcPr>
          <w:p>
            <w:pPr>
              <w:spacing w:after="0"/>
              <w:rPr>
                <w:sz w:val="1"/>
                <w:szCs w:val="1"/>
                <w:color w:val="auto"/>
              </w:rPr>
            </w:pPr>
          </w:p>
        </w:tc>
      </w:tr>
      <w:tr>
        <w:trPr>
          <w:trHeight w:val="227"/>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Outstanding at December 31, 2025</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1,208,248</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26.95</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Stock Options</w:t>
      </w:r>
    </w:p>
    <w:p>
      <w:pPr>
        <w:spacing w:after="0" w:line="115" w:lineRule="exact"/>
        <w:rPr>
          <w:sz w:val="20"/>
          <w:szCs w:val="20"/>
          <w:color w:val="auto"/>
        </w:rPr>
      </w:pPr>
    </w:p>
    <w:p>
      <w:pPr>
        <w:jc w:val="both"/>
        <w:ind w:firstLine="309"/>
        <w:spacing w:after="0" w:line="307" w:lineRule="auto"/>
        <w:rPr>
          <w:sz w:val="20"/>
          <w:szCs w:val="20"/>
          <w:color w:val="auto"/>
        </w:rPr>
      </w:pPr>
      <w:r>
        <w:rPr>
          <w:rFonts w:ascii="Times New Roman" w:cs="Times New Roman" w:eastAsia="Times New Roman" w:hAnsi="Times New Roman"/>
          <w:sz w:val="15"/>
          <w:szCs w:val="15"/>
          <w:color w:val="auto"/>
        </w:rPr>
        <w:t>No stock options were granted during the years ended December 31, 2025, 2024 and 2023. Options to purchase shares are granted with an exercise price equal to the fair value of the Company’s common stock on the grant date. All of the outstanding stock options were exercisable as of December 31, 2025.</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Stock Option Activity</w:t>
      </w:r>
    </w:p>
    <w:p>
      <w:pPr>
        <w:spacing w:after="0" w:line="12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A summary of stock option activity for the years ended December 31, 2025, 2024, and 2023 follows:</w:t>
      </w:r>
    </w:p>
    <w:p>
      <w:pPr>
        <w:spacing w:after="0" w:line="207" w:lineRule="exact"/>
        <w:rPr>
          <w:sz w:val="20"/>
          <w:szCs w:val="20"/>
          <w:color w:val="auto"/>
        </w:rPr>
      </w:pPr>
    </w:p>
    <w:tbl>
      <w:tblPr>
        <w:tblLayout w:type="fixed"/>
        <w:tblInd w:w="100" w:type="dxa"/>
        <w:tblCellMar>
          <w:top w:w="0" w:type="dxa"/>
          <w:left w:w="0" w:type="dxa"/>
          <w:bottom w:w="0" w:type="dxa"/>
          <w:right w:w="0" w:type="dxa"/>
        </w:tblCellMar>
      </w:tblPr>
      <w:tr>
        <w:trPr>
          <w:trHeight w:val="161"/>
        </w:trPr>
        <w:tc>
          <w:tcPr>
            <w:tcW w:w="73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Weighted Average</w:t>
            </w:r>
          </w:p>
        </w:tc>
        <w:tc>
          <w:tcPr>
            <w:tcW w:w="0" w:type="dxa"/>
            <w:vAlign w:val="bottom"/>
          </w:tcPr>
          <w:p>
            <w:pPr>
              <w:spacing w:after="0"/>
              <w:rPr>
                <w:sz w:val="1"/>
                <w:szCs w:val="1"/>
                <w:color w:val="auto"/>
              </w:rPr>
            </w:pPr>
          </w:p>
        </w:tc>
      </w:tr>
      <w:tr>
        <w:trPr>
          <w:trHeight w:val="130"/>
        </w:trPr>
        <w:tc>
          <w:tcPr>
            <w:tcW w:w="73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w w:val="97"/>
              </w:rPr>
              <w:t>Remaining</w:t>
            </w:r>
          </w:p>
        </w:tc>
        <w:tc>
          <w:tcPr>
            <w:tcW w:w="0" w:type="dxa"/>
            <w:vAlign w:val="bottom"/>
          </w:tcPr>
          <w:p>
            <w:pPr>
              <w:spacing w:after="0"/>
              <w:rPr>
                <w:sz w:val="1"/>
                <w:szCs w:val="1"/>
                <w:color w:val="auto"/>
              </w:rPr>
            </w:pPr>
          </w:p>
        </w:tc>
      </w:tr>
      <w:tr>
        <w:trPr>
          <w:trHeight w:val="153"/>
        </w:trPr>
        <w:tc>
          <w:tcPr>
            <w:tcW w:w="7340" w:type="dxa"/>
            <w:vAlign w:val="bottom"/>
          </w:tcPr>
          <w:p>
            <w:pPr>
              <w:spacing w:after="0"/>
              <w:rPr>
                <w:sz w:val="13"/>
                <w:szCs w:val="13"/>
                <w:color w:val="auto"/>
              </w:rPr>
            </w:pPr>
          </w:p>
        </w:tc>
        <w:tc>
          <w:tcPr>
            <w:tcW w:w="1000" w:type="dxa"/>
            <w:vAlign w:val="bottom"/>
            <w:vMerge w:val="restart"/>
          </w:tcPr>
          <w:p>
            <w:pPr>
              <w:jc w:val="right"/>
              <w:ind w:right="183"/>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40" w:type="dxa"/>
            <w:vAlign w:val="bottom"/>
          </w:tcPr>
          <w:p>
            <w:pPr>
              <w:spacing w:after="0"/>
              <w:rPr>
                <w:sz w:val="13"/>
                <w:szCs w:val="13"/>
                <w:color w:val="auto"/>
              </w:rPr>
            </w:pPr>
          </w:p>
        </w:tc>
        <w:tc>
          <w:tcPr>
            <w:tcW w:w="1380" w:type="dxa"/>
            <w:vAlign w:val="bottom"/>
            <w:gridSpan w:val="3"/>
          </w:tcPr>
          <w:p>
            <w:pPr>
              <w:ind w:left="80"/>
              <w:spacing w:after="0" w:line="153"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1200" w:type="dxa"/>
            <w:vAlign w:val="bottom"/>
          </w:tcPr>
          <w:p>
            <w:pPr>
              <w:jc w:val="center"/>
              <w:spacing w:after="0" w:line="153" w:lineRule="exact"/>
              <w:rPr>
                <w:sz w:val="20"/>
                <w:szCs w:val="20"/>
                <w:color w:val="auto"/>
              </w:rPr>
            </w:pPr>
            <w:r>
              <w:rPr>
                <w:rFonts w:ascii="Times New Roman" w:cs="Times New Roman" w:eastAsia="Times New Roman" w:hAnsi="Times New Roman"/>
                <w:sz w:val="14"/>
                <w:szCs w:val="14"/>
                <w:b w:val="1"/>
                <w:bCs w:val="1"/>
                <w:color w:val="auto"/>
                <w:w w:val="96"/>
              </w:rPr>
              <w:t>Contractual Term</w:t>
            </w:r>
          </w:p>
        </w:tc>
        <w:tc>
          <w:tcPr>
            <w:tcW w:w="0" w:type="dxa"/>
            <w:vAlign w:val="bottom"/>
          </w:tcPr>
          <w:p>
            <w:pPr>
              <w:spacing w:after="0"/>
              <w:rPr>
                <w:sz w:val="1"/>
                <w:szCs w:val="1"/>
                <w:color w:val="auto"/>
              </w:rPr>
            </w:pPr>
          </w:p>
        </w:tc>
      </w:tr>
      <w:tr>
        <w:trPr>
          <w:trHeight w:val="188"/>
        </w:trPr>
        <w:tc>
          <w:tcPr>
            <w:tcW w:w="734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4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(years)</w:t>
            </w:r>
          </w:p>
        </w:tc>
        <w:tc>
          <w:tcPr>
            <w:tcW w:w="0" w:type="dxa"/>
            <w:vAlign w:val="bottom"/>
          </w:tcPr>
          <w:p>
            <w:pPr>
              <w:spacing w:after="0"/>
              <w:rPr>
                <w:sz w:val="1"/>
                <w:szCs w:val="1"/>
                <w:color w:val="auto"/>
              </w:rPr>
            </w:pPr>
          </w:p>
        </w:tc>
      </w:tr>
      <w:tr>
        <w:trPr>
          <w:trHeight w:val="205"/>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Outstanding at December 31, 2022</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1,948,360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12.69</w:t>
            </w: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w:t>
            </w:r>
          </w:p>
        </w:tc>
        <w:tc>
          <w:tcPr>
            <w:tcW w:w="0" w:type="dxa"/>
            <w:vAlign w:val="bottom"/>
          </w:tcPr>
          <w:p>
            <w:pPr>
              <w:spacing w:after="0"/>
              <w:rPr>
                <w:sz w:val="1"/>
                <w:szCs w:val="1"/>
                <w:color w:val="auto"/>
              </w:rPr>
            </w:pPr>
          </w:p>
        </w:tc>
      </w:tr>
      <w:tr>
        <w:trPr>
          <w:trHeight w:val="203"/>
        </w:trPr>
        <w:tc>
          <w:tcPr>
            <w:tcW w:w="73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Granted</w:t>
            </w: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Exercised</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(103,141)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12.92</w:t>
            </w: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w:t>
            </w:r>
          </w:p>
        </w:tc>
        <w:tc>
          <w:tcPr>
            <w:tcW w:w="0" w:type="dxa"/>
            <w:vAlign w:val="bottom"/>
          </w:tcPr>
          <w:p>
            <w:pPr>
              <w:spacing w:after="0"/>
              <w:rPr>
                <w:sz w:val="1"/>
                <w:szCs w:val="1"/>
                <w:color w:val="auto"/>
              </w:rPr>
            </w:pPr>
          </w:p>
        </w:tc>
      </w:tr>
      <w:tr>
        <w:trPr>
          <w:trHeight w:val="203"/>
        </w:trPr>
        <w:tc>
          <w:tcPr>
            <w:tcW w:w="73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5"/>
                <w:szCs w:val="15"/>
                <w:color w:val="auto"/>
              </w:rPr>
              <w:t>Forfeited/Cancelled</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1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2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Outstanding at December 31, 2023</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1,845,219</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12.68</w:t>
            </w: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w:t>
            </w:r>
          </w:p>
        </w:tc>
        <w:tc>
          <w:tcPr>
            <w:tcW w:w="0" w:type="dxa"/>
            <w:vAlign w:val="bottom"/>
          </w:tcPr>
          <w:p>
            <w:pPr>
              <w:spacing w:after="0"/>
              <w:rPr>
                <w:sz w:val="1"/>
                <w:szCs w:val="1"/>
                <w:color w:val="auto"/>
              </w:rPr>
            </w:pPr>
          </w:p>
        </w:tc>
      </w:tr>
      <w:tr>
        <w:trPr>
          <w:trHeight w:val="203"/>
        </w:trPr>
        <w:tc>
          <w:tcPr>
            <w:tcW w:w="73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Granted</w:t>
            </w: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Exercised</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(29,859)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12.38</w:t>
            </w: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w:t>
            </w:r>
          </w:p>
        </w:tc>
        <w:tc>
          <w:tcPr>
            <w:tcW w:w="0" w:type="dxa"/>
            <w:vAlign w:val="bottom"/>
          </w:tcPr>
          <w:p>
            <w:pPr>
              <w:spacing w:after="0"/>
              <w:rPr>
                <w:sz w:val="1"/>
                <w:szCs w:val="1"/>
                <w:color w:val="auto"/>
              </w:rPr>
            </w:pPr>
          </w:p>
        </w:tc>
      </w:tr>
      <w:tr>
        <w:trPr>
          <w:trHeight w:val="203"/>
        </w:trPr>
        <w:tc>
          <w:tcPr>
            <w:tcW w:w="73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5"/>
                <w:szCs w:val="15"/>
                <w:color w:val="auto"/>
              </w:rPr>
              <w:t>Forfeited/Cancelled</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1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2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Outstanding at December 31, 2024</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1,815,360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12.68</w:t>
            </w: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w:t>
            </w:r>
          </w:p>
        </w:tc>
        <w:tc>
          <w:tcPr>
            <w:tcW w:w="0" w:type="dxa"/>
            <w:vAlign w:val="bottom"/>
          </w:tcPr>
          <w:p>
            <w:pPr>
              <w:spacing w:after="0"/>
              <w:rPr>
                <w:sz w:val="1"/>
                <w:szCs w:val="1"/>
                <w:color w:val="auto"/>
              </w:rPr>
            </w:pPr>
          </w:p>
        </w:tc>
      </w:tr>
      <w:tr>
        <w:trPr>
          <w:trHeight w:val="203"/>
        </w:trPr>
        <w:tc>
          <w:tcPr>
            <w:tcW w:w="73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Granted</w:t>
            </w: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Exercised</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(934,500)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11.32</w:t>
            </w: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w:t>
            </w:r>
          </w:p>
        </w:tc>
        <w:tc>
          <w:tcPr>
            <w:tcW w:w="0" w:type="dxa"/>
            <w:vAlign w:val="bottom"/>
          </w:tcPr>
          <w:p>
            <w:pPr>
              <w:spacing w:after="0"/>
              <w:rPr>
                <w:sz w:val="1"/>
                <w:szCs w:val="1"/>
                <w:color w:val="auto"/>
              </w:rPr>
            </w:pPr>
          </w:p>
        </w:tc>
      </w:tr>
      <w:tr>
        <w:trPr>
          <w:trHeight w:val="203"/>
        </w:trPr>
        <w:tc>
          <w:tcPr>
            <w:tcW w:w="73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5"/>
                <w:szCs w:val="15"/>
                <w:color w:val="auto"/>
              </w:rPr>
              <w:t>Forfeited/Cancelled</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(4,015)</w:t>
            </w: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100" w:type="dxa"/>
            <w:vAlign w:val="bottom"/>
            <w:tcBorders>
              <w:bottom w:val="single" w:sz="8" w:color="CCEEFF"/>
            </w:tcBorders>
          </w:tcPr>
          <w:p>
            <w:pPr>
              <w:jc w:val="right"/>
              <w:ind w:right="4"/>
              <w:spacing w:after="0"/>
              <w:rPr>
                <w:sz w:val="20"/>
                <w:szCs w:val="20"/>
                <w:color w:val="auto"/>
              </w:rPr>
            </w:pPr>
            <w:r>
              <w:rPr>
                <w:rFonts w:ascii="Times New Roman" w:cs="Times New Roman" w:eastAsia="Times New Roman" w:hAnsi="Times New Roman"/>
                <w:sz w:val="15"/>
                <w:szCs w:val="15"/>
                <w:color w:val="auto"/>
              </w:rPr>
              <w:t>21.17</w:t>
            </w:r>
          </w:p>
        </w:tc>
        <w:tc>
          <w:tcPr>
            <w:tcW w:w="140" w:type="dxa"/>
            <w:vAlign w:val="bottom"/>
            <w:tcBorders>
              <w:bottom w:val="single" w:sz="8" w:color="CCEEFF"/>
            </w:tcBorders>
          </w:tcPr>
          <w:p>
            <w:pPr>
              <w:spacing w:after="0"/>
              <w:rPr>
                <w:sz w:val="17"/>
                <w:szCs w:val="17"/>
                <w:color w:val="auto"/>
              </w:rPr>
            </w:pPr>
          </w:p>
        </w:tc>
        <w:tc>
          <w:tcPr>
            <w:tcW w:w="1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5"/>
                <w:szCs w:val="15"/>
                <w:color w:val="auto"/>
              </w:rPr>
              <w:t>0.0</w:t>
            </w:r>
          </w:p>
        </w:tc>
        <w:tc>
          <w:tcPr>
            <w:tcW w:w="0" w:type="dxa"/>
            <w:vAlign w:val="bottom"/>
          </w:tcPr>
          <w:p>
            <w:pPr>
              <w:spacing w:after="0"/>
              <w:rPr>
                <w:sz w:val="1"/>
                <w:szCs w:val="1"/>
                <w:color w:val="auto"/>
              </w:rPr>
            </w:pPr>
          </w:p>
        </w:tc>
      </w:tr>
      <w:tr>
        <w:trPr>
          <w:trHeight w:val="227"/>
        </w:trPr>
        <w:tc>
          <w:tcPr>
            <w:tcW w:w="7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Outstanding at December 31, 2025</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876,845</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12.12</w:t>
            </w:r>
          </w:p>
        </w:tc>
        <w:tc>
          <w:tcPr>
            <w:tcW w:w="1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w:t>
            </w:r>
          </w:p>
        </w:tc>
        <w:tc>
          <w:tcPr>
            <w:tcW w:w="0" w:type="dxa"/>
            <w:vAlign w:val="bottom"/>
          </w:tcPr>
          <w:p>
            <w:pPr>
              <w:spacing w:after="0"/>
              <w:rPr>
                <w:sz w:val="1"/>
                <w:szCs w:val="1"/>
                <w:color w:val="auto"/>
              </w:rPr>
            </w:pPr>
          </w:p>
        </w:tc>
      </w:tr>
      <w:tr>
        <w:trPr>
          <w:trHeight w:val="20"/>
        </w:trPr>
        <w:tc>
          <w:tcPr>
            <w:tcW w:w="73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Stock Appreciation Rights</w:t>
      </w:r>
    </w:p>
    <w:p>
      <w:pPr>
        <w:spacing w:after="0" w:line="12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5"/>
          <w:szCs w:val="15"/>
          <w:color w:val="auto"/>
        </w:rPr>
        <w:t>During the year ended December 31, 2025, 200,000 stock-settled stock appreciation right awards (the "SAR Awards") were exercised. These SAR Awards were granted on December 16, 2018. The SAR Awards had an exercise price of $12.90. Fifty percent (50%) of the SAR Awards vested in five equal annual installments on each of the first five anniversaries of the date of grant, generally subject to continued employment on each vesting date. Twenty-five percent (25%) of the award vested based on satisfaction of the time condition and the achievement by the Company of an average closing price of a share of Common Stock on the Nasdaq Stock Market of $25.00 over a period of sixty (60) consecutive trading days, and twenty-five percent (25%) of the award vested based on satisfaction of the time condition and the achievement by the Company of an average closing price of a share of Common Stock on the Nasdaq Stock Market of $35.00 over</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4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2"/>
          <w:szCs w:val="12"/>
          <w:b w:val="1"/>
          <w:bCs w:val="1"/>
          <w:u w:val="single" w:color="auto"/>
          <w:color w:val="0000FF"/>
        </w:rPr>
        <w:t>Table of Contents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SURGERY PARTNERS, INC.</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5"/>
          <w:szCs w:val="15"/>
          <w:color w:val="auto"/>
        </w:rPr>
        <w:t>a period of sixty (60) consecutive trading days, in each case, generally subject to continued employment on each vesting date. As of December 31, 2025, there were no SAR Awards outstanding.</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Other information pertaining to equity-based compensation</w:t>
      </w:r>
    </w:p>
    <w:p>
      <w:pPr>
        <w:spacing w:after="0" w:line="115" w:lineRule="exact"/>
        <w:rPr>
          <w:sz w:val="20"/>
          <w:szCs w:val="20"/>
          <w:color w:val="auto"/>
        </w:rPr>
      </w:pPr>
    </w:p>
    <w:p>
      <w:pPr>
        <w:jc w:val="both"/>
        <w:ind w:firstLine="309"/>
        <w:spacing w:after="0" w:line="307" w:lineRule="auto"/>
        <w:rPr>
          <w:sz w:val="20"/>
          <w:szCs w:val="20"/>
          <w:color w:val="auto"/>
        </w:rPr>
      </w:pPr>
      <w:r>
        <w:rPr>
          <w:rFonts w:ascii="Times New Roman" w:cs="Times New Roman" w:eastAsia="Times New Roman" w:hAnsi="Times New Roman"/>
          <w:sz w:val="15"/>
          <w:szCs w:val="15"/>
          <w:color w:val="auto"/>
        </w:rPr>
        <w:t>At December 31, 2025, unrecognized compensation cost related to unvested shares was approximately $25.5 million. Unrecognized compensation cost will be expensed annually based on the number of shares that vest during the year.</w:t>
      </w:r>
    </w:p>
    <w:p>
      <w:pPr>
        <w:spacing w:after="0" w:line="36" w:lineRule="exact"/>
        <w:rPr>
          <w:sz w:val="20"/>
          <w:szCs w:val="20"/>
          <w:color w:val="auto"/>
        </w:rPr>
      </w:pPr>
    </w:p>
    <w:p>
      <w:pPr>
        <w:jc w:val="both"/>
        <w:ind w:firstLine="309"/>
        <w:spacing w:after="0" w:line="279" w:lineRule="auto"/>
        <w:rPr>
          <w:sz w:val="20"/>
          <w:szCs w:val="20"/>
          <w:color w:val="auto"/>
        </w:rPr>
      </w:pPr>
      <w:r>
        <w:rPr>
          <w:rFonts w:ascii="Times New Roman" w:cs="Times New Roman" w:eastAsia="Times New Roman" w:hAnsi="Times New Roman"/>
          <w:sz w:val="15"/>
          <w:szCs w:val="15"/>
          <w:color w:val="auto"/>
        </w:rPr>
        <w:t>The Company records equity-based compensation expense to recognize the fair value of the restricted shares, stock options and SAR Awards granted over the relevant vesting period. The Company recorded equity-based compensation expense of $14.8 million, $33.3 million and $17.7 million for the years ended December 31, 2025, 2024 and 2023, respectively.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11. Employee Benefit Plans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Surgery Partners 401(k) Plan</w:t>
      </w:r>
    </w:p>
    <w:p>
      <w:pPr>
        <w:spacing w:after="0" w:line="115" w:lineRule="exact"/>
        <w:rPr>
          <w:sz w:val="20"/>
          <w:szCs w:val="20"/>
          <w:color w:val="auto"/>
        </w:rPr>
      </w:pPr>
    </w:p>
    <w:p>
      <w:pPr>
        <w:jc w:val="both"/>
        <w:ind w:firstLine="309"/>
        <w:spacing w:after="0" w:line="266" w:lineRule="auto"/>
        <w:rPr>
          <w:sz w:val="20"/>
          <w:szCs w:val="20"/>
          <w:color w:val="auto"/>
        </w:rPr>
      </w:pPr>
      <w:r>
        <w:rPr>
          <w:rFonts w:ascii="Times New Roman" w:cs="Times New Roman" w:eastAsia="Times New Roman" w:hAnsi="Times New Roman"/>
          <w:sz w:val="15"/>
          <w:szCs w:val="15"/>
          <w:color w:val="auto"/>
        </w:rPr>
        <w:t>The Surgery Partners 401(k) Plan is a defined contribution plan whereby certain employees who have completed at least one month of service, including at least one hour of service during that period of time, are eligible to participate. Employees may enroll in the plan immediately upon completion of the minimum service requirement. The Surgery Partners 401(k) Plan allows eligible employees to make contributions of varying percentages or flat dollar amounts of their annual compensation, up to the maximum allowable amounts by the Internal Revenue Service ("IRS"). Eligible employees may or may not receive a match by the Company of their contributions. Employer contributions vest incrementally over a period of five years. The Company's contributions were $18.0 million, $15.3 million and $12.6 million for the years ended December 31, 2025, 2024, and 2023, respectively.</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12</w:t>
      </w:r>
      <w:r>
        <w:rPr>
          <w:rFonts w:ascii="Times New Roman" w:cs="Times New Roman" w:eastAsia="Times New Roman" w:hAnsi="Times New Roman"/>
          <w:sz w:val="15"/>
          <w:szCs w:val="15"/>
          <w:b w:val="1"/>
          <w:bCs w:val="1"/>
          <w:color w:val="auto"/>
        </w:rPr>
        <w:t>. Other Current Liabilities</w:t>
      </w:r>
    </w:p>
    <w:p>
      <w:pPr>
        <w:spacing w:after="0" w:line="11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A summary of other current liabilities was as follows (in millions):</w:t>
      </w:r>
    </w:p>
    <w:p>
      <w:pPr>
        <w:spacing w:after="0" w:line="228" w:lineRule="exact"/>
        <w:rPr>
          <w:sz w:val="20"/>
          <w:szCs w:val="20"/>
          <w:color w:val="auto"/>
        </w:rPr>
      </w:pPr>
    </w:p>
    <w:tbl>
      <w:tblPr>
        <w:tblLayout w:type="fixed"/>
        <w:tblInd w:w="120" w:type="dxa"/>
        <w:tblCellMar>
          <w:top w:w="0" w:type="dxa"/>
          <w:left w:w="0" w:type="dxa"/>
          <w:bottom w:w="0" w:type="dxa"/>
          <w:right w:w="0" w:type="dxa"/>
        </w:tblCellMar>
      </w:tblPr>
      <w:tr>
        <w:trPr>
          <w:trHeight w:val="182"/>
        </w:trPr>
        <w:tc>
          <w:tcPr>
            <w:tcW w:w="8420" w:type="dxa"/>
            <w:vAlign w:val="bottom"/>
          </w:tcPr>
          <w:p>
            <w:pPr>
              <w:spacing w:after="0"/>
              <w:rPr>
                <w:sz w:val="15"/>
                <w:szCs w:val="15"/>
                <w:color w:val="auto"/>
              </w:rPr>
            </w:pPr>
          </w:p>
        </w:tc>
        <w:tc>
          <w:tcPr>
            <w:tcW w:w="136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240" w:type="dxa"/>
            <w:vAlign w:val="bottom"/>
            <w:gridSpan w:val="2"/>
          </w:tcPr>
          <w:p>
            <w:pPr>
              <w:jc w:val="right"/>
              <w:ind w:right="3"/>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2"/>
        </w:trPr>
        <w:tc>
          <w:tcPr>
            <w:tcW w:w="84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83"/>
        </w:trPr>
        <w:tc>
          <w:tcPr>
            <w:tcW w:w="8420" w:type="dxa"/>
            <w:vAlign w:val="bottom"/>
          </w:tcPr>
          <w:p>
            <w:pPr>
              <w:spacing w:after="0"/>
              <w:rPr>
                <w:sz w:val="7"/>
                <w:szCs w:val="7"/>
                <w:color w:val="auto"/>
              </w:rPr>
            </w:pPr>
          </w:p>
        </w:tc>
        <w:tc>
          <w:tcPr>
            <w:tcW w:w="46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780" w:type="dxa"/>
            <w:vAlign w:val="bottom"/>
          </w:tcPr>
          <w:p>
            <w:pPr>
              <w:spacing w:after="0"/>
              <w:rPr>
                <w:sz w:val="7"/>
                <w:szCs w:val="7"/>
                <w:color w:val="auto"/>
              </w:rPr>
            </w:pPr>
          </w:p>
        </w:tc>
      </w:tr>
      <w:tr>
        <w:trPr>
          <w:trHeight w:val="206"/>
        </w:trPr>
        <w:tc>
          <w:tcPr>
            <w:tcW w:w="84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Right-of-use operating lease liabilities</w:t>
            </w:r>
          </w:p>
        </w:tc>
        <w:tc>
          <w:tcPr>
            <w:tcW w:w="460" w:type="dxa"/>
            <w:vAlign w:val="bottom"/>
            <w:shd w:val="clear" w:color="auto" w:fill="CCEEFF"/>
          </w:tcPr>
          <w:p>
            <w:pPr>
              <w:jc w:val="right"/>
              <w:ind w:right="306"/>
              <w:spacing w:after="0"/>
              <w:rPr>
                <w:sz w:val="20"/>
                <w:szCs w:val="20"/>
                <w:color w:val="auto"/>
              </w:rPr>
            </w:pPr>
            <w:r>
              <w:rPr>
                <w:rFonts w:ascii="Times New Roman" w:cs="Times New Roman" w:eastAsia="Times New Roman" w:hAnsi="Times New Roman"/>
                <w:sz w:val="15"/>
                <w:szCs w:val="15"/>
                <w:color w:val="auto"/>
                <w:w w:val="7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42.7</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306"/>
              <w:spacing w:after="0"/>
              <w:rPr>
                <w:sz w:val="20"/>
                <w:szCs w:val="20"/>
                <w:color w:val="auto"/>
              </w:rPr>
            </w:pPr>
            <w:r>
              <w:rPr>
                <w:rFonts w:ascii="Times New Roman" w:cs="Times New Roman" w:eastAsia="Times New Roman" w:hAnsi="Times New Roman"/>
                <w:sz w:val="15"/>
                <w:szCs w:val="15"/>
                <w:color w:val="auto"/>
                <w:w w:val="7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41.0</w:t>
            </w:r>
          </w:p>
        </w:tc>
      </w:tr>
      <w:tr>
        <w:trPr>
          <w:trHeight w:val="203"/>
        </w:trPr>
        <w:tc>
          <w:tcPr>
            <w:tcW w:w="8420" w:type="dxa"/>
            <w:vAlign w:val="bottom"/>
          </w:tcPr>
          <w:p>
            <w:pPr>
              <w:spacing w:after="0"/>
              <w:rPr>
                <w:sz w:val="20"/>
                <w:szCs w:val="20"/>
                <w:color w:val="auto"/>
              </w:rPr>
            </w:pPr>
            <w:r>
              <w:rPr>
                <w:rFonts w:ascii="Times New Roman" w:cs="Times New Roman" w:eastAsia="Times New Roman" w:hAnsi="Times New Roman"/>
                <w:sz w:val="15"/>
                <w:szCs w:val="15"/>
                <w:color w:val="auto"/>
              </w:rPr>
              <w:t>Cost report liabilities</w:t>
            </w:r>
          </w:p>
        </w:tc>
        <w:tc>
          <w:tcPr>
            <w:tcW w:w="4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21.3</w:t>
            </w:r>
          </w:p>
        </w:tc>
      </w:tr>
      <w:tr>
        <w:trPr>
          <w:trHeight w:val="209"/>
        </w:trPr>
        <w:tc>
          <w:tcPr>
            <w:tcW w:w="84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Amounts due to patients and payors</w:t>
            </w:r>
          </w:p>
        </w:tc>
        <w:tc>
          <w:tcPr>
            <w:tcW w:w="4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46.6</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31.8</w:t>
            </w:r>
          </w:p>
        </w:tc>
      </w:tr>
      <w:tr>
        <w:trPr>
          <w:trHeight w:val="203"/>
        </w:trPr>
        <w:tc>
          <w:tcPr>
            <w:tcW w:w="8420" w:type="dxa"/>
            <w:vAlign w:val="bottom"/>
          </w:tcPr>
          <w:p>
            <w:pPr>
              <w:spacing w:after="0"/>
              <w:rPr>
                <w:sz w:val="20"/>
                <w:szCs w:val="20"/>
                <w:color w:val="auto"/>
              </w:rPr>
            </w:pPr>
            <w:r>
              <w:rPr>
                <w:rFonts w:ascii="Times New Roman" w:cs="Times New Roman" w:eastAsia="Times New Roman" w:hAnsi="Times New Roman"/>
                <w:sz w:val="15"/>
                <w:szCs w:val="15"/>
                <w:color w:val="auto"/>
              </w:rPr>
              <w:t>Interest payable</w:t>
            </w:r>
          </w:p>
        </w:tc>
        <w:tc>
          <w:tcPr>
            <w:tcW w:w="4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19.5</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13.4</w:t>
            </w:r>
          </w:p>
        </w:tc>
      </w:tr>
      <w:tr>
        <w:trPr>
          <w:trHeight w:val="209"/>
        </w:trPr>
        <w:tc>
          <w:tcPr>
            <w:tcW w:w="84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Interest rate swaps</w:t>
            </w:r>
          </w:p>
        </w:tc>
        <w:tc>
          <w:tcPr>
            <w:tcW w:w="4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w:t>
            </w:r>
          </w:p>
        </w:tc>
      </w:tr>
      <w:tr>
        <w:trPr>
          <w:trHeight w:val="203"/>
        </w:trPr>
        <w:tc>
          <w:tcPr>
            <w:tcW w:w="84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Accrued expenses and other</w:t>
            </w:r>
          </w:p>
        </w:tc>
        <w:tc>
          <w:tcPr>
            <w:tcW w:w="4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129.1</w:t>
            </w:r>
          </w:p>
        </w:tc>
        <w:tc>
          <w:tcPr>
            <w:tcW w:w="12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142.9</w:t>
            </w:r>
          </w:p>
        </w:tc>
      </w:tr>
      <w:tr>
        <w:trPr>
          <w:trHeight w:val="227"/>
        </w:trPr>
        <w:tc>
          <w:tcPr>
            <w:tcW w:w="84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Total</w:t>
            </w:r>
          </w:p>
        </w:tc>
        <w:tc>
          <w:tcPr>
            <w:tcW w:w="460" w:type="dxa"/>
            <w:vAlign w:val="bottom"/>
            <w:tcBorders>
              <w:bottom w:val="single" w:sz="8" w:color="auto"/>
            </w:tcBorders>
            <w:shd w:val="clear" w:color="auto" w:fill="CCEEFF"/>
          </w:tcPr>
          <w:p>
            <w:pPr>
              <w:jc w:val="right"/>
              <w:ind w:right="306"/>
              <w:spacing w:after="0"/>
              <w:rPr>
                <w:sz w:val="20"/>
                <w:szCs w:val="20"/>
                <w:color w:val="auto"/>
              </w:rPr>
            </w:pPr>
            <w:r>
              <w:rPr>
                <w:rFonts w:ascii="Times New Roman" w:cs="Times New Roman" w:eastAsia="Times New Roman" w:hAnsi="Times New Roman"/>
                <w:sz w:val="15"/>
                <w:szCs w:val="15"/>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242.6</w:t>
            </w:r>
          </w:p>
        </w:tc>
        <w:tc>
          <w:tcPr>
            <w:tcW w:w="12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306"/>
              <w:spacing w:after="0"/>
              <w:rPr>
                <w:sz w:val="20"/>
                <w:szCs w:val="20"/>
                <w:color w:val="auto"/>
              </w:rPr>
            </w:pPr>
            <w:r>
              <w:rPr>
                <w:rFonts w:ascii="Times New Roman" w:cs="Times New Roman" w:eastAsia="Times New Roman" w:hAnsi="Times New Roman"/>
                <w:sz w:val="15"/>
                <w:szCs w:val="15"/>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253.9</w:t>
            </w:r>
          </w:p>
        </w:tc>
      </w:tr>
      <w:tr>
        <w:trPr>
          <w:trHeight w:val="20"/>
        </w:trPr>
        <w:tc>
          <w:tcPr>
            <w:tcW w:w="84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13. Commitments and Contingencies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Professional, General and Workers' Compensation and Cyber Liability Risks</w:t>
      </w:r>
    </w:p>
    <w:p>
      <w:pPr>
        <w:spacing w:after="0" w:line="128" w:lineRule="exact"/>
        <w:rPr>
          <w:sz w:val="20"/>
          <w:szCs w:val="20"/>
          <w:color w:val="auto"/>
        </w:rPr>
      </w:pPr>
    </w:p>
    <w:p>
      <w:pPr>
        <w:jc w:val="both"/>
        <w:ind w:firstLine="309"/>
        <w:spacing w:after="0" w:line="263" w:lineRule="auto"/>
        <w:rPr>
          <w:sz w:val="20"/>
          <w:szCs w:val="20"/>
          <w:color w:val="auto"/>
        </w:rPr>
      </w:pPr>
      <w:r>
        <w:rPr>
          <w:rFonts w:ascii="Times New Roman" w:cs="Times New Roman" w:eastAsia="Times New Roman" w:hAnsi="Times New Roman"/>
          <w:sz w:val="15"/>
          <w:szCs w:val="15"/>
          <w:color w:val="auto"/>
        </w:rPr>
        <w:t>The Company is subject to claims and legal actions in the ordinary course of business, including claims relating to patient treatment, employment practices and personal injuries. The Company maintains professional, general and workers' compensation and cyber liability insurance in excess of self-insured retentions, through third party commercial insurance carriers. Although management believes the coverage is sufficient for the Company's operations, some claims may potentially exceed the scope of coverage in effect. Plaintiffs in these matters may request punitive or other damages that may not be covered by insurance. The Company is not aware of any such proceedings that are reasonably possible to have a material adverse effect on the Company's business, financial position, results of operations or liquidity. Total professional, general and workers' compensation claim liabilities as of December 31, 2025 and 2024 were $23.9 million and $19.2 million, respectively. Expected insurance recoveries of $8.6 million and $9.6 million as of December 31, 2025 and 2024, respectively, are included as a component of other current assets and other long-term assets in the consolidated balance sheets.</w:t>
      </w:r>
    </w:p>
    <w:p>
      <w:pPr>
        <w:spacing w:after="0" w:line="69" w:lineRule="exact"/>
        <w:rPr>
          <w:sz w:val="20"/>
          <w:szCs w:val="20"/>
          <w:color w:val="auto"/>
        </w:rPr>
      </w:pPr>
    </w:p>
    <w:p>
      <w:pPr>
        <w:jc w:val="both"/>
        <w:ind w:firstLine="309"/>
        <w:spacing w:after="0" w:line="275" w:lineRule="auto"/>
        <w:rPr>
          <w:sz w:val="20"/>
          <w:szCs w:val="20"/>
          <w:color w:val="auto"/>
        </w:rPr>
      </w:pPr>
      <w:r>
        <w:rPr>
          <w:rFonts w:ascii="Times New Roman" w:cs="Times New Roman" w:eastAsia="Times New Roman" w:hAnsi="Times New Roman"/>
          <w:sz w:val="15"/>
          <w:szCs w:val="15"/>
          <w:color w:val="auto"/>
        </w:rPr>
        <w:t>In May 2023, we experienced a cybersecurity incident that temporarily disrupted certain facilities in our Idaho market. We estimate that this incident had an adverse pre-tax impact of approximately $8 million during the year ended December 31, 2023. This estimate includes lost revenue from the associated business interruption and other related expenses. We have filed a claim with the insurance carrier related to this incident. Insurance recoveries of $6.5 million were recognized during each of the years ended December 31, 2024 and December 31, 2025.</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4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2"/>
          <w:szCs w:val="12"/>
          <w:b w:val="1"/>
          <w:bCs w:val="1"/>
          <w:u w:val="single" w:color="auto"/>
          <w:color w:val="0000FF"/>
        </w:rPr>
        <w:t>Table of Contents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SURGERY PARTNERS, INC.</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Laws and Regulations</w:t>
      </w:r>
    </w:p>
    <w:p>
      <w:pPr>
        <w:spacing w:after="0" w:line="115" w:lineRule="exact"/>
        <w:rPr>
          <w:sz w:val="20"/>
          <w:szCs w:val="20"/>
          <w:color w:val="auto"/>
        </w:rPr>
      </w:pPr>
    </w:p>
    <w:p>
      <w:pPr>
        <w:jc w:val="both"/>
        <w:ind w:firstLine="309"/>
        <w:spacing w:after="0" w:line="265" w:lineRule="auto"/>
        <w:rPr>
          <w:sz w:val="20"/>
          <w:szCs w:val="20"/>
          <w:color w:val="auto"/>
        </w:rPr>
      </w:pPr>
      <w:r>
        <w:rPr>
          <w:rFonts w:ascii="Times New Roman" w:cs="Times New Roman" w:eastAsia="Times New Roman" w:hAnsi="Times New Roman"/>
          <w:sz w:val="15"/>
          <w:szCs w:val="15"/>
          <w:color w:val="auto"/>
        </w:rPr>
        <w:t>Laws and regulations governing the Company's business, including those relating to the Medicare and Medicaid programs, are complex and subject to interpretation. These laws and regulations govern every aspect of how the Company's surgical facilities conduct their operations, from licensing requirements to how and whether the Company's facilities may receive payments pursuant to the Medicare and Medicaid programs. Compliance with such laws and regulations can be subject to future government agency review and interpretation as well as legislative changes to such laws. Noncompliance with such laws and regulations may subject the Company to significant regulatory sanctions including fines, penalties, and exclusion from the Medicare, Medicaid and other federal health care programs. From time to time, governmental regulatory agencies will conduct inquiries of the Company's practices, including, but not limited to, the Company's compliance with federal and state fraud and abuse laws, billing practices and relationships with physicians.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Acquired Facilities</w:t>
      </w:r>
    </w:p>
    <w:p>
      <w:pPr>
        <w:spacing w:after="0" w:line="115" w:lineRule="exact"/>
        <w:rPr>
          <w:sz w:val="20"/>
          <w:szCs w:val="20"/>
          <w:color w:val="auto"/>
        </w:rPr>
      </w:pPr>
    </w:p>
    <w:p>
      <w:pPr>
        <w:jc w:val="both"/>
        <w:ind w:firstLine="309"/>
        <w:spacing w:after="0" w:line="263" w:lineRule="auto"/>
        <w:rPr>
          <w:sz w:val="20"/>
          <w:szCs w:val="20"/>
          <w:color w:val="auto"/>
        </w:rPr>
      </w:pPr>
      <w:r>
        <w:rPr>
          <w:rFonts w:ascii="Times New Roman" w:cs="Times New Roman" w:eastAsia="Times New Roman" w:hAnsi="Times New Roman"/>
          <w:sz w:val="15"/>
          <w:szCs w:val="15"/>
          <w:color w:val="auto"/>
        </w:rPr>
        <w:t>The Company, through its wholly-owned subsidiaries or controlled partnerships and limited liability companies, has acquired and will continue to acquire surgical facilities with prior operating histories. Such facilities may have unknown or contingent liabilities, including liabilities for failure to comply with health care laws and regulations, such as billing and reimbursement laws and regulations, the federal physician self-referral law, or Stark Law, the statute commonly known as the federal Anti-Kickback statute, the federal False Claims Act, and similar fraud and abuse laws. Although the Company attempts to assure that no such liabilities exist, obtain indemnification from prospective sellers covering such matters and institute policies designed to conform centers to its standards following completion of acquisitions, there can be no assurance that the Company will not become liable for past activities that may later be asserted to be improper by private plaintiffs or government agencies. There can be no assurance that any such matter will be covered by indemnification or, if covered, that the liability sustained will not exceed contractual limits or the financial capacity of the indemnifying party.</w:t>
      </w:r>
    </w:p>
    <w:p>
      <w:pPr>
        <w:spacing w:after="0" w:line="82" w:lineRule="exact"/>
        <w:rPr>
          <w:sz w:val="20"/>
          <w:szCs w:val="20"/>
          <w:color w:val="auto"/>
        </w:rPr>
      </w:pPr>
    </w:p>
    <w:p>
      <w:pPr>
        <w:jc w:val="both"/>
        <w:ind w:firstLine="309"/>
        <w:spacing w:after="0" w:line="279" w:lineRule="auto"/>
        <w:rPr>
          <w:sz w:val="20"/>
          <w:szCs w:val="20"/>
          <w:color w:val="auto"/>
        </w:rPr>
      </w:pPr>
      <w:r>
        <w:rPr>
          <w:rFonts w:ascii="Times New Roman" w:cs="Times New Roman" w:eastAsia="Times New Roman" w:hAnsi="Times New Roman"/>
          <w:sz w:val="15"/>
          <w:szCs w:val="15"/>
          <w:color w:val="auto"/>
        </w:rPr>
        <w:t>The Company cannot predict whether federal or state statutory or regulatory provisions will be enacted that would prohibit or otherwise regulate relationships which the Company has established or may establish with other health care providers or have materially adverse effects on its business or revenues arising from such future actions. Management believes, however, that it will be able to adjust the Company's operations so as to be in compliance with any statutory or regulatory provision as may be applicable.</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Potential Physician Investor Liability</w:t>
      </w:r>
    </w:p>
    <w:p>
      <w:pPr>
        <w:spacing w:after="0" w:line="115" w:lineRule="exact"/>
        <w:rPr>
          <w:sz w:val="20"/>
          <w:szCs w:val="20"/>
          <w:color w:val="auto"/>
        </w:rPr>
      </w:pPr>
    </w:p>
    <w:p>
      <w:pPr>
        <w:jc w:val="both"/>
        <w:ind w:firstLine="309"/>
        <w:spacing w:after="0" w:line="265" w:lineRule="auto"/>
        <w:rPr>
          <w:sz w:val="20"/>
          <w:szCs w:val="20"/>
          <w:color w:val="auto"/>
        </w:rPr>
      </w:pPr>
      <w:r>
        <w:rPr>
          <w:rFonts w:ascii="Times New Roman" w:cs="Times New Roman" w:eastAsia="Times New Roman" w:hAnsi="Times New Roman"/>
          <w:sz w:val="15"/>
          <w:szCs w:val="15"/>
          <w:color w:val="auto"/>
        </w:rPr>
        <w:t>A majority of the physician investors in the partnerships and limited liability companies which operate the Company's surgical facilities carry general and professional liability insurance on a claims-made basis. Each partnership or limited liability company may, however, be liable for damages to persons or property arising from occurrences at the surgical facilities. Although the various physician investors and other surgeons generally are required to obtain general and professional liability insurance with tail coverage that extends beyond the period of any claims-made policies, such individuals may not be able to obtain coverage in amounts sufficient to cover all potential liability. Since most insurance policies contain exclusions, the physician investors will not be insured against all possible occurrences. In the event of an uninsured or underinsured loss, the value of an investment in the partnership interests or limited liability company membership units and the amount of distributions could be adversely affected.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14</w:t>
      </w:r>
      <w:r>
        <w:rPr>
          <w:rFonts w:ascii="Times New Roman" w:cs="Times New Roman" w:eastAsia="Times New Roman" w:hAnsi="Times New Roman"/>
          <w:sz w:val="15"/>
          <w:szCs w:val="15"/>
          <w:b w:val="1"/>
          <w:bCs w:val="1"/>
          <w:color w:val="auto"/>
        </w:rPr>
        <w:t>. Segment Reporting</w:t>
      </w:r>
    </w:p>
    <w:p>
      <w:pPr>
        <w:spacing w:after="0" w:line="118" w:lineRule="exact"/>
        <w:rPr>
          <w:sz w:val="20"/>
          <w:szCs w:val="20"/>
          <w:color w:val="auto"/>
        </w:rPr>
      </w:pPr>
    </w:p>
    <w:p>
      <w:pPr>
        <w:jc w:val="both"/>
        <w:ind w:firstLine="309"/>
        <w:spacing w:after="0" w:line="289" w:lineRule="auto"/>
        <w:rPr>
          <w:sz w:val="20"/>
          <w:szCs w:val="20"/>
          <w:color w:val="auto"/>
        </w:rPr>
      </w:pPr>
      <w:r>
        <w:rPr>
          <w:rFonts w:ascii="Times New Roman" w:cs="Times New Roman" w:eastAsia="Times New Roman" w:hAnsi="Times New Roman"/>
          <w:sz w:val="15"/>
          <w:szCs w:val="15"/>
          <w:color w:val="auto"/>
        </w:rPr>
        <w:t>Segment information is prepared on the same basis that our Chief Executive Officer, who is our Chief Operating Decision Maker ("CODM"), manages our segments, evaluates financial results, and makes key operating decisions. We have one reportable segment: Surgical Facilities.</w:t>
      </w:r>
    </w:p>
    <w:p>
      <w:pPr>
        <w:spacing w:after="0" w:line="62" w:lineRule="exact"/>
        <w:rPr>
          <w:sz w:val="20"/>
          <w:szCs w:val="20"/>
          <w:color w:val="auto"/>
        </w:rPr>
      </w:pPr>
    </w:p>
    <w:p>
      <w:pPr>
        <w:jc w:val="both"/>
        <w:ind w:firstLine="309"/>
        <w:spacing w:after="0" w:line="289" w:lineRule="auto"/>
        <w:rPr>
          <w:sz w:val="20"/>
          <w:szCs w:val="20"/>
          <w:color w:val="auto"/>
        </w:rPr>
      </w:pPr>
      <w:r>
        <w:rPr>
          <w:rFonts w:ascii="Times New Roman" w:cs="Times New Roman" w:eastAsia="Times New Roman" w:hAnsi="Times New Roman"/>
          <w:sz w:val="15"/>
          <w:szCs w:val="15"/>
          <w:color w:val="auto"/>
        </w:rPr>
        <w:t>The Surgical Facilities reportable segment is comprised of two operating segments, which we have aggregated to a single reportable segment in consideration of the aggregation criteria set forth in ASC 280.</w:t>
      </w:r>
    </w:p>
    <w:p>
      <w:pPr>
        <w:spacing w:after="0" w:line="49" w:lineRule="exact"/>
        <w:rPr>
          <w:sz w:val="20"/>
          <w:szCs w:val="20"/>
          <w:color w:val="auto"/>
        </w:rPr>
      </w:pPr>
    </w:p>
    <w:p>
      <w:pPr>
        <w:jc w:val="both"/>
        <w:ind w:firstLine="309"/>
        <w:spacing w:after="0" w:line="275" w:lineRule="auto"/>
        <w:rPr>
          <w:sz w:val="20"/>
          <w:szCs w:val="20"/>
          <w:color w:val="auto"/>
        </w:rPr>
      </w:pPr>
      <w:r>
        <w:rPr>
          <w:rFonts w:ascii="Times New Roman" w:cs="Times New Roman" w:eastAsia="Times New Roman" w:hAnsi="Times New Roman"/>
          <w:sz w:val="15"/>
          <w:szCs w:val="15"/>
          <w:color w:val="auto"/>
        </w:rPr>
        <w:t>The Surgical Facilities reportable segment includes the operation of ASCs, surgical hospitals, anesthesia services, and multi-specialty physician practices, which earns revenues primarily from contracts with patients in which the performance obligations are to provide health care services. The "All other" line item primarily consists of amounts attributable to the Company's corporate general and administrative functions. The Company defines its segments on the basis of the way in which its internally reported financial information is regularly reviewed by the CODM to assess performance and allocate resources.</w:t>
      </w:r>
    </w:p>
    <w:p>
      <w:pPr>
        <w:spacing w:after="0" w:line="60" w:lineRule="exact"/>
        <w:rPr>
          <w:sz w:val="20"/>
          <w:szCs w:val="20"/>
          <w:color w:val="auto"/>
        </w:rPr>
      </w:pPr>
    </w:p>
    <w:p>
      <w:pPr>
        <w:jc w:val="both"/>
        <w:ind w:firstLine="309"/>
        <w:spacing w:after="0" w:line="289" w:lineRule="auto"/>
        <w:rPr>
          <w:sz w:val="20"/>
          <w:szCs w:val="20"/>
          <w:color w:val="auto"/>
        </w:rPr>
      </w:pPr>
      <w:r>
        <w:rPr>
          <w:rFonts w:ascii="Times New Roman" w:cs="Times New Roman" w:eastAsia="Times New Roman" w:hAnsi="Times New Roman"/>
          <w:sz w:val="15"/>
          <w:szCs w:val="15"/>
          <w:color w:val="auto"/>
        </w:rPr>
        <w:t>During the years ended December 31, 2025 and 2024, the operating segment previously defined as "Ancillary services" was included with Surgical Facilities based on changes in the operational management of our multi-specialty physician practices.</w:t>
      </w:r>
    </w:p>
    <w:p>
      <w:pPr>
        <w:spacing w:after="0" w:line="62" w:lineRule="exact"/>
        <w:rPr>
          <w:sz w:val="20"/>
          <w:szCs w:val="20"/>
          <w:color w:val="auto"/>
        </w:rPr>
      </w:pPr>
    </w:p>
    <w:p>
      <w:pPr>
        <w:jc w:val="both"/>
        <w:ind w:firstLine="309"/>
        <w:spacing w:after="0" w:line="289" w:lineRule="auto"/>
        <w:rPr>
          <w:sz w:val="20"/>
          <w:szCs w:val="20"/>
          <w:color w:val="auto"/>
        </w:rPr>
      </w:pPr>
      <w:r>
        <w:rPr>
          <w:rFonts w:ascii="Times New Roman" w:cs="Times New Roman" w:eastAsia="Times New Roman" w:hAnsi="Times New Roman"/>
          <w:sz w:val="15"/>
          <w:szCs w:val="15"/>
          <w:color w:val="auto"/>
        </w:rPr>
        <w:t>The Company’s CODM uses Adjusted EBITDA to assess performance and allocate resources. The CODM considers budget-to-actual and actual versus prior period variances on a periodic basis as a means of assessing performance. The following segment information, including significant segment expenses, is presented in millions: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2"/>
          <w:szCs w:val="12"/>
          <w:b w:val="1"/>
          <w:bCs w:val="1"/>
          <w:u w:val="single" w:color="auto"/>
          <w:color w:val="0000FF"/>
        </w:rPr>
        <w:t>Table of Contents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SURGERY PARTNERS, INC.</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20" w:type="dxa"/>
        <w:tblCellMar>
          <w:top w:w="0" w:type="dxa"/>
          <w:left w:w="0" w:type="dxa"/>
          <w:bottom w:w="0" w:type="dxa"/>
          <w:right w:w="0" w:type="dxa"/>
        </w:tblCellMar>
      </w:tblPr>
      <w:tr>
        <w:trPr>
          <w:trHeight w:val="182"/>
        </w:trPr>
        <w:tc>
          <w:tcPr>
            <w:tcW w:w="6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58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w w:val="98"/>
              </w:rPr>
              <w:t>Year Ended December 31,</w:t>
            </w: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2"/>
        </w:trPr>
        <w:tc>
          <w:tcPr>
            <w:tcW w:w="68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81"/>
        </w:trPr>
        <w:tc>
          <w:tcPr>
            <w:tcW w:w="68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5"/>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Surgical Facilities Revenues</w:t>
            </w:r>
          </w:p>
        </w:tc>
        <w:tc>
          <w:tcPr>
            <w:tcW w:w="32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w w:val="7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3,308.7</w:t>
            </w:r>
          </w:p>
        </w:tc>
        <w:tc>
          <w:tcPr>
            <w:tcW w:w="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3,114.3</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2,743.3</w:t>
            </w:r>
          </w:p>
        </w:tc>
      </w:tr>
      <w:tr>
        <w:trPr>
          <w:trHeight w:val="245"/>
        </w:trPr>
        <w:tc>
          <w:tcPr>
            <w:tcW w:w="68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06"/>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Less:</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03"/>
        </w:trPr>
        <w:tc>
          <w:tcPr>
            <w:tcW w:w="68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Salaries and benefits</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971.0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907.5</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793.8</w:t>
            </w:r>
          </w:p>
        </w:tc>
      </w:tr>
      <w:tr>
        <w:trPr>
          <w:trHeight w:val="209"/>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Supplies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878.9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812.9</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745.0</w:t>
            </w:r>
          </w:p>
        </w:tc>
      </w:tr>
      <w:tr>
        <w:trPr>
          <w:trHeight w:val="203"/>
        </w:trPr>
        <w:tc>
          <w:tcPr>
            <w:tcW w:w="68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Professional and medical fees</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404.5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357.1</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296.8</w:t>
            </w:r>
          </w:p>
        </w:tc>
      </w:tr>
      <w:tr>
        <w:trPr>
          <w:trHeight w:val="209"/>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Lease expense</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87.9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89.5</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84.9</w:t>
            </w:r>
          </w:p>
        </w:tc>
      </w:tr>
      <w:tr>
        <w:trPr>
          <w:trHeight w:val="206"/>
        </w:trPr>
        <w:tc>
          <w:tcPr>
            <w:tcW w:w="6820" w:type="dxa"/>
            <w:vAlign w:val="bottom"/>
            <w:tcBorders>
              <w:bottom w:val="single" w:sz="8" w:color="CCEEFF"/>
            </w:tcBorders>
          </w:tcPr>
          <w:p>
            <w:pPr>
              <w:ind w:left="20"/>
              <w:spacing w:after="0" w:line="207" w:lineRule="exact"/>
              <w:rPr>
                <w:sz w:val="20"/>
                <w:szCs w:val="20"/>
                <w:color w:val="auto"/>
              </w:rPr>
            </w:pPr>
            <w:r>
              <w:rPr>
                <w:rFonts w:ascii="Times New Roman" w:cs="Times New Roman" w:eastAsia="Times New Roman" w:hAnsi="Times New Roman"/>
                <w:sz w:val="15"/>
                <w:szCs w:val="15"/>
                <w:color w:val="auto"/>
              </w:rPr>
              <w:t xml:space="preserve">Other segment items </w:t>
            </w:r>
            <w:r>
              <w:rPr>
                <w:rFonts w:ascii="Times New Roman" w:cs="Times New Roman" w:eastAsia="Times New Roman" w:hAnsi="Times New Roman"/>
                <w:sz w:val="20"/>
                <w:szCs w:val="20"/>
                <w:color w:val="auto"/>
                <w:vertAlign w:val="superscript"/>
              </w:rPr>
              <w:t>(1)</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340.2</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337.3</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288.5</w:t>
            </w:r>
          </w:p>
        </w:tc>
      </w:tr>
      <w:tr>
        <w:trPr>
          <w:trHeight w:val="196"/>
        </w:trPr>
        <w:tc>
          <w:tcPr>
            <w:tcW w:w="68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2,682.5</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2,504.3</w:t>
            </w:r>
          </w:p>
        </w:tc>
        <w:tc>
          <w:tcPr>
            <w:tcW w:w="8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2,209.0</w:t>
            </w:r>
          </w:p>
        </w:tc>
      </w:tr>
      <w:tr>
        <w:trPr>
          <w:trHeight w:val="202"/>
        </w:trPr>
        <w:tc>
          <w:tcPr>
            <w:tcW w:w="68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Adjusted Surgical Facilities EBITDA</w:t>
            </w:r>
          </w:p>
        </w:tc>
        <w:tc>
          <w:tcPr>
            <w:tcW w:w="320" w:type="dxa"/>
            <w:vAlign w:val="bottom"/>
          </w:tcPr>
          <w:p>
            <w:pPr>
              <w:jc w:val="right"/>
              <w:ind w:right="163"/>
              <w:spacing w:after="0"/>
              <w:rPr>
                <w:sz w:val="20"/>
                <w:szCs w:val="20"/>
                <w:color w:val="auto"/>
              </w:rPr>
            </w:pPr>
            <w:r>
              <w:rPr>
                <w:rFonts w:ascii="Times New Roman" w:cs="Times New Roman" w:eastAsia="Times New Roman" w:hAnsi="Times New Roman"/>
                <w:sz w:val="15"/>
                <w:szCs w:val="15"/>
                <w:color w:val="auto"/>
                <w:w w:val="7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626.2</w:t>
            </w: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610.0</w:t>
            </w:r>
          </w:p>
        </w:tc>
        <w:tc>
          <w:tcPr>
            <w:tcW w:w="80" w:type="dxa"/>
            <w:vAlign w:val="bottom"/>
          </w:tcPr>
          <w:p>
            <w:pPr>
              <w:spacing w:after="0"/>
              <w:rPr>
                <w:sz w:val="17"/>
                <w:szCs w:val="17"/>
                <w:color w:val="auto"/>
              </w:rPr>
            </w:pPr>
          </w:p>
        </w:tc>
        <w:tc>
          <w:tcPr>
            <w:tcW w:w="340" w:type="dxa"/>
            <w:vAlign w:val="bottom"/>
          </w:tcPr>
          <w:p>
            <w:pPr>
              <w:jc w:val="right"/>
              <w:ind w:right="163"/>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534.3</w:t>
            </w:r>
          </w:p>
        </w:tc>
      </w:tr>
      <w:tr>
        <w:trPr>
          <w:trHeight w:val="20"/>
        </w:trPr>
        <w:tc>
          <w:tcPr>
            <w:tcW w:w="682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211"/>
        </w:trPr>
        <w:tc>
          <w:tcPr>
            <w:tcW w:w="6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05"/>
        </w:trPr>
        <w:tc>
          <w:tcPr>
            <w:tcW w:w="682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Reconciliation:</w:t>
            </w: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7"/>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Add back: Net income attributable to non-controlling interests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(176.8)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(180.6)</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(147.2)</w:t>
            </w:r>
          </w:p>
        </w:tc>
      </w:tr>
      <w:tr>
        <w:trPr>
          <w:trHeight w:val="203"/>
        </w:trPr>
        <w:tc>
          <w:tcPr>
            <w:tcW w:w="68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Unallocated amounts:</w:t>
            </w: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9"/>
        </w:trPr>
        <w:tc>
          <w:tcPr>
            <w:tcW w:w="6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General and administrative expenses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118.2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138.7</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120.9</w:t>
            </w:r>
          </w:p>
        </w:tc>
      </w:tr>
      <w:tr>
        <w:trPr>
          <w:trHeight w:val="203"/>
        </w:trPr>
        <w:tc>
          <w:tcPr>
            <w:tcW w:w="68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Transaction and integration costs</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73.9</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100.1</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61.7</w:t>
            </w:r>
          </w:p>
        </w:tc>
      </w:tr>
      <w:tr>
        <w:trPr>
          <w:trHeight w:val="209"/>
        </w:trPr>
        <w:tc>
          <w:tcPr>
            <w:tcW w:w="6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Other corporate expenses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50.4</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52.8</w:t>
            </w:r>
          </w:p>
        </w:tc>
      </w:tr>
      <w:tr>
        <w:trPr>
          <w:trHeight w:val="203"/>
        </w:trPr>
        <w:tc>
          <w:tcPr>
            <w:tcW w:w="68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176.0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152.6</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118.1</w:t>
            </w:r>
          </w:p>
        </w:tc>
      </w:tr>
      <w:tr>
        <w:trPr>
          <w:trHeight w:val="206"/>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Interest expense, net</w:t>
            </w:r>
          </w:p>
        </w:tc>
        <w:tc>
          <w:tcPr>
            <w:tcW w:w="3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272.6</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201.7</w:t>
            </w:r>
          </w:p>
        </w:tc>
        <w:tc>
          <w:tcPr>
            <w:tcW w:w="8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193.0</w:t>
            </w:r>
          </w:p>
        </w:tc>
      </w:tr>
      <w:tr>
        <w:trPr>
          <w:trHeight w:val="202"/>
        </w:trPr>
        <w:tc>
          <w:tcPr>
            <w:tcW w:w="68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Income before income taxes</w:t>
            </w:r>
          </w:p>
        </w:tc>
        <w:tc>
          <w:tcPr>
            <w:tcW w:w="320" w:type="dxa"/>
            <w:vAlign w:val="bottom"/>
          </w:tcPr>
          <w:p>
            <w:pPr>
              <w:jc w:val="right"/>
              <w:ind w:right="163"/>
              <w:spacing w:after="0"/>
              <w:rPr>
                <w:sz w:val="20"/>
                <w:szCs w:val="20"/>
                <w:color w:val="auto"/>
              </w:rPr>
            </w:pPr>
            <w:r>
              <w:rPr>
                <w:rFonts w:ascii="Times New Roman" w:cs="Times New Roman" w:eastAsia="Times New Roman" w:hAnsi="Times New Roman"/>
                <w:sz w:val="15"/>
                <w:szCs w:val="15"/>
                <w:color w:val="auto"/>
                <w:w w:val="7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116.9</w:t>
            </w: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147.1</w:t>
            </w:r>
          </w:p>
        </w:tc>
        <w:tc>
          <w:tcPr>
            <w:tcW w:w="80" w:type="dxa"/>
            <w:vAlign w:val="bottom"/>
          </w:tcPr>
          <w:p>
            <w:pPr>
              <w:spacing w:after="0"/>
              <w:rPr>
                <w:sz w:val="17"/>
                <w:szCs w:val="17"/>
                <w:color w:val="auto"/>
              </w:rPr>
            </w:pPr>
          </w:p>
        </w:tc>
        <w:tc>
          <w:tcPr>
            <w:tcW w:w="340" w:type="dxa"/>
            <w:vAlign w:val="bottom"/>
          </w:tcPr>
          <w:p>
            <w:pPr>
              <w:jc w:val="right"/>
              <w:ind w:right="163"/>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135.0</w:t>
            </w:r>
          </w:p>
        </w:tc>
      </w:tr>
      <w:tr>
        <w:trPr>
          <w:trHeight w:val="20"/>
        </w:trPr>
        <w:tc>
          <w:tcPr>
            <w:tcW w:w="68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  Other segment items includes equity in earnings of unconsolidated affiliates, net income attributable to non-controlling interests and other expenses, net.</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0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140" w:type="dxa"/>
            <w:vAlign w:val="bottom"/>
            <w:gridSpan w:val="9"/>
          </w:tcPr>
          <w:p>
            <w:pPr>
              <w:ind w:left="4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2"/>
        </w:trPr>
        <w:tc>
          <w:tcPr>
            <w:tcW w:w="70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81"/>
        </w:trPr>
        <w:tc>
          <w:tcPr>
            <w:tcW w:w="706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2"/>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Depreciation and amortization:</w:t>
            </w:r>
          </w:p>
        </w:tc>
        <w:tc>
          <w:tcPr>
            <w:tcW w:w="4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r>
      <w:tr>
        <w:trPr>
          <w:trHeight w:val="203"/>
        </w:trPr>
        <w:tc>
          <w:tcPr>
            <w:tcW w:w="70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Surgical Facilities</w:t>
            </w:r>
          </w:p>
        </w:tc>
        <w:tc>
          <w:tcPr>
            <w:tcW w:w="420" w:type="dxa"/>
            <w:vAlign w:val="bottom"/>
          </w:tcPr>
          <w:p>
            <w:pPr>
              <w:jc w:val="right"/>
              <w:ind w:right="244"/>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164.8</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138.9</w:t>
            </w:r>
          </w:p>
        </w:tc>
        <w:tc>
          <w:tcPr>
            <w:tcW w:w="100" w:type="dxa"/>
            <w:vAlign w:val="bottom"/>
          </w:tcPr>
          <w:p>
            <w:pPr>
              <w:spacing w:after="0"/>
              <w:rPr>
                <w:sz w:val="17"/>
                <w:szCs w:val="17"/>
                <w:color w:val="auto"/>
              </w:rPr>
            </w:pPr>
          </w:p>
        </w:tc>
        <w:tc>
          <w:tcPr>
            <w:tcW w:w="280" w:type="dxa"/>
            <w:vAlign w:val="bottom"/>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110.8</w:t>
            </w:r>
          </w:p>
        </w:tc>
      </w:tr>
      <w:tr>
        <w:trPr>
          <w:trHeight w:val="206"/>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All other</w:t>
            </w:r>
          </w:p>
        </w:tc>
        <w:tc>
          <w:tcPr>
            <w:tcW w:w="42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11.2</w:t>
            </w:r>
          </w:p>
        </w:tc>
        <w:tc>
          <w:tcPr>
            <w:tcW w:w="6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13.7</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7.3</w:t>
            </w:r>
          </w:p>
        </w:tc>
      </w:tr>
      <w:tr>
        <w:trPr>
          <w:trHeight w:val="202"/>
        </w:trPr>
        <w:tc>
          <w:tcPr>
            <w:tcW w:w="70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Total depreciation and amortization expense</w:t>
            </w:r>
          </w:p>
        </w:tc>
        <w:tc>
          <w:tcPr>
            <w:tcW w:w="420" w:type="dxa"/>
            <w:vAlign w:val="bottom"/>
            <w:tcBorders>
              <w:bottom w:val="single" w:sz="8" w:color="auto"/>
            </w:tcBorders>
          </w:tcPr>
          <w:p>
            <w:pPr>
              <w:jc w:val="right"/>
              <w:ind w:right="244"/>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176.0</w:t>
            </w:r>
          </w:p>
        </w:tc>
        <w:tc>
          <w:tcPr>
            <w:tcW w:w="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152.6</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118.1</w:t>
            </w:r>
          </w:p>
        </w:tc>
      </w:tr>
      <w:tr>
        <w:trPr>
          <w:trHeight w:val="20"/>
        </w:trPr>
        <w:tc>
          <w:tcPr>
            <w:tcW w:w="70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r>
      <w:tr>
        <w:trPr>
          <w:trHeight w:val="433"/>
        </w:trPr>
        <w:tc>
          <w:tcPr>
            <w:tcW w:w="7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0" w:type="dxa"/>
            <w:vAlign w:val="bottom"/>
            <w:gridSpan w:val="7"/>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w w:val="98"/>
              </w:rPr>
              <w:t>December 31, 2025</w:t>
            </w:r>
          </w:p>
        </w:tc>
        <w:tc>
          <w:tcPr>
            <w:tcW w:w="1720" w:type="dxa"/>
            <w:vAlign w:val="bottom"/>
            <w:gridSpan w:val="4"/>
          </w:tcPr>
          <w:p>
            <w:pPr>
              <w:jc w:val="right"/>
              <w:ind w:right="224"/>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2"/>
        </w:trPr>
        <w:tc>
          <w:tcPr>
            <w:tcW w:w="70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86"/>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Assets:</w:t>
            </w:r>
          </w:p>
        </w:tc>
        <w:tc>
          <w:tcPr>
            <w:tcW w:w="4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r>
      <w:tr>
        <w:trPr>
          <w:trHeight w:val="203"/>
        </w:trPr>
        <w:tc>
          <w:tcPr>
            <w:tcW w:w="70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Surgical Facilities</w:t>
            </w:r>
          </w:p>
        </w:tc>
        <w:tc>
          <w:tcPr>
            <w:tcW w:w="860" w:type="dxa"/>
            <w:vAlign w:val="bottom"/>
            <w:gridSpan w:val="3"/>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7,643.9</w:t>
            </w:r>
          </w:p>
        </w:tc>
        <w:tc>
          <w:tcPr>
            <w:tcW w:w="140" w:type="dxa"/>
            <w:vAlign w:val="bottom"/>
          </w:tcPr>
          <w:p>
            <w:pPr>
              <w:spacing w:after="0"/>
              <w:rPr>
                <w:sz w:val="17"/>
                <w:szCs w:val="17"/>
                <w:color w:val="auto"/>
              </w:rPr>
            </w:pPr>
          </w:p>
        </w:tc>
        <w:tc>
          <w:tcPr>
            <w:tcW w:w="440" w:type="dxa"/>
            <w:vAlign w:val="bottom"/>
          </w:tcPr>
          <w:p>
            <w:pPr>
              <w:jc w:val="right"/>
              <w:ind w:right="264"/>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7,466.3</w:t>
            </w:r>
          </w:p>
        </w:tc>
      </w:tr>
      <w:tr>
        <w:trPr>
          <w:trHeight w:val="206"/>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All other</w:t>
            </w: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475.8</w:t>
            </w:r>
          </w:p>
        </w:tc>
        <w:tc>
          <w:tcPr>
            <w:tcW w:w="14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423.7</w:t>
            </w:r>
          </w:p>
        </w:tc>
      </w:tr>
      <w:tr>
        <w:trPr>
          <w:trHeight w:val="202"/>
        </w:trPr>
        <w:tc>
          <w:tcPr>
            <w:tcW w:w="70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Total assets</w:t>
            </w:r>
          </w:p>
        </w:tc>
        <w:tc>
          <w:tcPr>
            <w:tcW w:w="580" w:type="dxa"/>
            <w:vAlign w:val="bottom"/>
            <w:gridSpan w:val="2"/>
          </w:tcPr>
          <w:p>
            <w:pPr>
              <w:spacing w:after="0"/>
              <w:rPr>
                <w:sz w:val="17"/>
                <w:szCs w:val="17"/>
                <w:color w:val="auto"/>
              </w:rPr>
            </w:pPr>
          </w:p>
        </w:tc>
        <w:tc>
          <w:tcPr>
            <w:tcW w:w="28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8,119.7</w:t>
            </w:r>
          </w:p>
        </w:tc>
        <w:tc>
          <w:tcPr>
            <w:tcW w:w="140" w:type="dxa"/>
            <w:vAlign w:val="bottom"/>
          </w:tcPr>
          <w:p>
            <w:pPr>
              <w:spacing w:after="0"/>
              <w:rPr>
                <w:sz w:val="17"/>
                <w:szCs w:val="17"/>
                <w:color w:val="auto"/>
              </w:rPr>
            </w:pPr>
          </w:p>
        </w:tc>
        <w:tc>
          <w:tcPr>
            <w:tcW w:w="440" w:type="dxa"/>
            <w:vAlign w:val="bottom"/>
            <w:tcBorders>
              <w:bottom w:val="single" w:sz="8" w:color="auto"/>
            </w:tcBorders>
          </w:tcPr>
          <w:p>
            <w:pPr>
              <w:jc w:val="right"/>
              <w:ind w:right="264"/>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7,890.0</w:t>
            </w:r>
          </w:p>
        </w:tc>
      </w:tr>
      <w:tr>
        <w:trPr>
          <w:trHeight w:val="20"/>
        </w:trPr>
        <w:tc>
          <w:tcPr>
            <w:tcW w:w="70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gridSpan w:val="3"/>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420"/>
        </w:trPr>
        <w:tc>
          <w:tcPr>
            <w:tcW w:w="7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80" w:type="dxa"/>
            <w:vAlign w:val="bottom"/>
            <w:gridSpan w:val="7"/>
          </w:tcPr>
          <w:p>
            <w:pPr>
              <w:jc w:val="center"/>
              <w:ind w:right="103"/>
              <w:spacing w:after="0"/>
              <w:rPr>
                <w:sz w:val="20"/>
                <w:szCs w:val="20"/>
                <w:color w:val="auto"/>
              </w:rPr>
            </w:pPr>
            <w:r>
              <w:rPr>
                <w:rFonts w:ascii="Times New Roman" w:cs="Times New Roman" w:eastAsia="Times New Roman" w:hAnsi="Times New Roman"/>
                <w:sz w:val="14"/>
                <w:szCs w:val="14"/>
                <w:b w:val="1"/>
                <w:bCs w:val="1"/>
                <w:color w:val="auto"/>
                <w:w w:val="96"/>
              </w:rPr>
              <w:t>Year Ended December 31,</w:t>
            </w:r>
          </w:p>
        </w:tc>
        <w:tc>
          <w:tcPr>
            <w:tcW w:w="900" w:type="dxa"/>
            <w:vAlign w:val="bottom"/>
          </w:tcPr>
          <w:p>
            <w:pPr>
              <w:spacing w:after="0"/>
              <w:rPr>
                <w:sz w:val="24"/>
                <w:szCs w:val="24"/>
                <w:color w:val="auto"/>
              </w:rPr>
            </w:pPr>
          </w:p>
        </w:tc>
      </w:tr>
      <w:tr>
        <w:trPr>
          <w:trHeight w:val="22"/>
        </w:trPr>
        <w:tc>
          <w:tcPr>
            <w:tcW w:w="70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81"/>
        </w:trPr>
        <w:tc>
          <w:tcPr>
            <w:tcW w:w="7060" w:type="dxa"/>
            <w:vAlign w:val="bottom"/>
            <w:tcBorders>
              <w:bottom w:val="single" w:sz="8" w:color="CCEEFF"/>
            </w:tcBorders>
          </w:tcPr>
          <w:p>
            <w:pPr>
              <w:spacing w:after="0"/>
              <w:rPr>
                <w:sz w:val="15"/>
                <w:szCs w:val="15"/>
                <w:color w:val="auto"/>
              </w:rPr>
            </w:pPr>
          </w:p>
        </w:tc>
        <w:tc>
          <w:tcPr>
            <w:tcW w:w="4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2"/>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Cash purchases of property and equipment:</w:t>
            </w:r>
          </w:p>
        </w:tc>
        <w:tc>
          <w:tcPr>
            <w:tcW w:w="4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r>
      <w:tr>
        <w:trPr>
          <w:trHeight w:val="203"/>
        </w:trPr>
        <w:tc>
          <w:tcPr>
            <w:tcW w:w="70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Surgical Facilities</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spacing w:after="0"/>
              <w:rPr>
                <w:sz w:val="17"/>
                <w:szCs w:val="17"/>
                <w:color w:val="auto"/>
              </w:rPr>
            </w:pPr>
          </w:p>
        </w:tc>
        <w:tc>
          <w:tcPr>
            <w:tcW w:w="740" w:type="dxa"/>
            <w:vAlign w:val="bottom"/>
            <w:gridSpan w:val="4"/>
          </w:tcPr>
          <w:p>
            <w:pPr>
              <w:jc w:val="right"/>
              <w:spacing w:after="0"/>
              <w:rPr>
                <w:sz w:val="20"/>
                <w:szCs w:val="20"/>
                <w:color w:val="auto"/>
              </w:rPr>
            </w:pPr>
            <w:r>
              <w:rPr>
                <w:rFonts w:ascii="Times New Roman" w:cs="Times New Roman" w:eastAsia="Times New Roman" w:hAnsi="Times New Roman"/>
                <w:sz w:val="15"/>
                <w:szCs w:val="15"/>
                <w:color w:val="auto"/>
              </w:rPr>
              <w:t>77.9</w:t>
            </w:r>
          </w:p>
        </w:tc>
        <w:tc>
          <w:tcPr>
            <w:tcW w:w="100" w:type="dxa"/>
            <w:vAlign w:val="bottom"/>
          </w:tcPr>
          <w:p>
            <w:pPr>
              <w:spacing w:after="0"/>
              <w:rPr>
                <w:sz w:val="17"/>
                <w:szCs w:val="17"/>
                <w:color w:val="auto"/>
              </w:rPr>
            </w:pPr>
          </w:p>
        </w:tc>
        <w:tc>
          <w:tcPr>
            <w:tcW w:w="620" w:type="dxa"/>
            <w:vAlign w:val="bottom"/>
          </w:tcPr>
          <w:p>
            <w:pPr>
              <w:jc w:val="right"/>
              <w:ind w:right="445"/>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86.6</w:t>
            </w:r>
          </w:p>
        </w:tc>
        <w:tc>
          <w:tcPr>
            <w:tcW w:w="100" w:type="dxa"/>
            <w:vAlign w:val="bottom"/>
          </w:tcPr>
          <w:p>
            <w:pPr>
              <w:spacing w:after="0"/>
              <w:rPr>
                <w:sz w:val="17"/>
                <w:szCs w:val="17"/>
                <w:color w:val="auto"/>
              </w:rPr>
            </w:pPr>
          </w:p>
        </w:tc>
        <w:tc>
          <w:tcPr>
            <w:tcW w:w="280" w:type="dxa"/>
            <w:vAlign w:val="bottom"/>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88.7</w:t>
            </w:r>
          </w:p>
        </w:tc>
      </w:tr>
      <w:tr>
        <w:trPr>
          <w:trHeight w:val="206"/>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All other</w:t>
            </w:r>
          </w:p>
        </w:tc>
        <w:tc>
          <w:tcPr>
            <w:tcW w:w="4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5"/>
              </w:rPr>
              <w:t>0.8</w:t>
            </w:r>
          </w:p>
        </w:tc>
        <w:tc>
          <w:tcPr>
            <w:tcW w:w="100" w:type="dxa"/>
            <w:vAlign w:val="bottom"/>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w:t>
            </w:r>
          </w:p>
        </w:tc>
      </w:tr>
      <w:tr>
        <w:trPr>
          <w:trHeight w:val="202"/>
        </w:trPr>
        <w:tc>
          <w:tcPr>
            <w:tcW w:w="70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Total cash purchases of property and equipment</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spacing w:after="0"/>
              <w:rPr>
                <w:sz w:val="17"/>
                <w:szCs w:val="17"/>
                <w:color w:val="auto"/>
              </w:rPr>
            </w:pPr>
          </w:p>
        </w:tc>
        <w:tc>
          <w:tcPr>
            <w:tcW w:w="740" w:type="dxa"/>
            <w:vAlign w:val="bottom"/>
            <w:gridSpan w:val="4"/>
          </w:tcPr>
          <w:p>
            <w:pPr>
              <w:jc w:val="right"/>
              <w:spacing w:after="0"/>
              <w:rPr>
                <w:sz w:val="20"/>
                <w:szCs w:val="20"/>
                <w:color w:val="auto"/>
              </w:rPr>
            </w:pPr>
            <w:r>
              <w:rPr>
                <w:rFonts w:ascii="Times New Roman" w:cs="Times New Roman" w:eastAsia="Times New Roman" w:hAnsi="Times New Roman"/>
                <w:sz w:val="15"/>
                <w:szCs w:val="15"/>
                <w:color w:val="auto"/>
              </w:rPr>
              <w:t>78.7</w:t>
            </w:r>
          </w:p>
        </w:tc>
        <w:tc>
          <w:tcPr>
            <w:tcW w:w="100" w:type="dxa"/>
            <w:vAlign w:val="bottom"/>
          </w:tcPr>
          <w:p>
            <w:pPr>
              <w:spacing w:after="0"/>
              <w:rPr>
                <w:sz w:val="17"/>
                <w:szCs w:val="17"/>
                <w:color w:val="auto"/>
              </w:rPr>
            </w:pPr>
          </w:p>
        </w:tc>
        <w:tc>
          <w:tcPr>
            <w:tcW w:w="620" w:type="dxa"/>
            <w:vAlign w:val="bottom"/>
          </w:tcPr>
          <w:p>
            <w:pPr>
              <w:jc w:val="right"/>
              <w:ind w:right="445"/>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90.4</w:t>
            </w:r>
          </w:p>
        </w:tc>
        <w:tc>
          <w:tcPr>
            <w:tcW w:w="100" w:type="dxa"/>
            <w:vAlign w:val="bottom"/>
          </w:tcPr>
          <w:p>
            <w:pPr>
              <w:spacing w:after="0"/>
              <w:rPr>
                <w:sz w:val="17"/>
                <w:szCs w:val="17"/>
                <w:color w:val="auto"/>
              </w:rPr>
            </w:pPr>
          </w:p>
        </w:tc>
        <w:tc>
          <w:tcPr>
            <w:tcW w:w="280" w:type="dxa"/>
            <w:vAlign w:val="bottom"/>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88.8</w:t>
            </w:r>
          </w:p>
        </w:tc>
      </w:tr>
      <w:tr>
        <w:trPr>
          <w:trHeight w:val="20"/>
        </w:trPr>
        <w:tc>
          <w:tcPr>
            <w:tcW w:w="70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4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2"/>
          <w:szCs w:val="12"/>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SIGNATURES</w:t>
      </w:r>
    </w:p>
    <w:p>
      <w:pPr>
        <w:spacing w:after="0" w:line="154" w:lineRule="exact"/>
        <w:rPr>
          <w:sz w:val="20"/>
          <w:szCs w:val="20"/>
          <w:color w:val="auto"/>
        </w:rPr>
      </w:pPr>
    </w:p>
    <w:p>
      <w:pPr>
        <w:ind w:firstLine="309"/>
        <w:spacing w:after="0" w:line="289" w:lineRule="auto"/>
        <w:rPr>
          <w:sz w:val="20"/>
          <w:szCs w:val="20"/>
          <w:color w:val="auto"/>
        </w:rPr>
      </w:pPr>
      <w:r>
        <w:rPr>
          <w:rFonts w:ascii="Times New Roman" w:cs="Times New Roman" w:eastAsia="Times New Roman" w:hAnsi="Times New Roman"/>
          <w:sz w:val="15"/>
          <w:szCs w:val="15"/>
          <w:color w:val="auto"/>
        </w:rPr>
        <w:t>Pursuant to the requirements of Section 13 or 15(d) of the Securities Exchange Act of 1934, the Registrant has duly caused this report to be signed on its behalf by the undersigned, thereunto duly authorized.</w:t>
      </w:r>
    </w:p>
    <w:p>
      <w:pPr>
        <w:spacing w:after="0" w:line="165"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5"/>
          <w:szCs w:val="15"/>
          <w:color w:val="auto"/>
        </w:rPr>
        <w:t>SURGERY PARTNERS, INC.</w:t>
      </w:r>
    </w:p>
    <w:p>
      <w:pPr>
        <w:spacing w:after="0" w:line="183" w:lineRule="exact"/>
        <w:rPr>
          <w:sz w:val="20"/>
          <w:szCs w:val="20"/>
          <w:color w:val="auto"/>
        </w:rPr>
      </w:pPr>
    </w:p>
    <w:tbl>
      <w:tblPr>
        <w:tblLayout w:type="fixed"/>
        <w:tblInd w:w="3120" w:type="dxa"/>
        <w:tblCellMar>
          <w:top w:w="0" w:type="dxa"/>
          <w:left w:w="0" w:type="dxa"/>
          <w:bottom w:w="0" w:type="dxa"/>
          <w:right w:w="0" w:type="dxa"/>
        </w:tblCellMar>
      </w:tblPr>
      <w:tr>
        <w:trPr>
          <w:trHeight w:val="172"/>
        </w:trPr>
        <w:tc>
          <w:tcPr>
            <w:tcW w:w="480" w:type="dxa"/>
            <w:vAlign w:val="bottom"/>
          </w:tcPr>
          <w:p>
            <w:pPr>
              <w:spacing w:after="0"/>
              <w:rPr>
                <w:sz w:val="20"/>
                <w:szCs w:val="20"/>
                <w:color w:val="auto"/>
              </w:rPr>
            </w:pPr>
            <w:r>
              <w:rPr>
                <w:rFonts w:ascii="Times New Roman" w:cs="Times New Roman" w:eastAsia="Times New Roman" w:hAnsi="Times New Roman"/>
                <w:sz w:val="15"/>
                <w:szCs w:val="15"/>
                <w:color w:val="auto"/>
              </w:rPr>
              <w:t>By:</w:t>
            </w:r>
          </w:p>
        </w:tc>
        <w:tc>
          <w:tcPr>
            <w:tcW w:w="18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 J. Eric Evans</w:t>
            </w:r>
          </w:p>
        </w:tc>
      </w:tr>
      <w:tr>
        <w:trPr>
          <w:trHeight w:val="122"/>
        </w:trPr>
        <w:tc>
          <w:tcPr>
            <w:tcW w:w="480" w:type="dxa"/>
            <w:vAlign w:val="bottom"/>
          </w:tcPr>
          <w:p>
            <w:pPr>
              <w:spacing w:after="0"/>
              <w:rPr>
                <w:sz w:val="10"/>
                <w:szCs w:val="10"/>
                <w:color w:val="auto"/>
              </w:rPr>
            </w:pPr>
          </w:p>
        </w:tc>
        <w:tc>
          <w:tcPr>
            <w:tcW w:w="980" w:type="dxa"/>
            <w:vAlign w:val="bottom"/>
            <w:tcBorders>
              <w:top w:val="single" w:sz="8" w:color="auto"/>
            </w:tcBorders>
          </w:tcPr>
          <w:p>
            <w:pPr>
              <w:spacing w:after="0" w:line="122" w:lineRule="exact"/>
              <w:rPr>
                <w:sz w:val="20"/>
                <w:szCs w:val="20"/>
                <w:color w:val="auto"/>
              </w:rPr>
            </w:pPr>
            <w:r>
              <w:rPr>
                <w:rFonts w:ascii="Times New Roman" w:cs="Times New Roman" w:eastAsia="Times New Roman" w:hAnsi="Times New Roman"/>
                <w:sz w:val="14"/>
                <w:szCs w:val="14"/>
                <w:i w:val="1"/>
                <w:iCs w:val="1"/>
                <w:color w:val="auto"/>
              </w:rPr>
              <w:t>J. Eric Evans</w:t>
            </w:r>
          </w:p>
        </w:tc>
        <w:tc>
          <w:tcPr>
            <w:tcW w:w="820" w:type="dxa"/>
            <w:vAlign w:val="bottom"/>
          </w:tcPr>
          <w:p>
            <w:pPr>
              <w:spacing w:after="0"/>
              <w:rPr>
                <w:sz w:val="10"/>
                <w:szCs w:val="10"/>
                <w:color w:val="auto"/>
              </w:rPr>
            </w:pPr>
          </w:p>
        </w:tc>
      </w:tr>
      <w:tr>
        <w:trPr>
          <w:trHeight w:val="155"/>
        </w:trPr>
        <w:tc>
          <w:tcPr>
            <w:tcW w:w="480" w:type="dxa"/>
            <w:vAlign w:val="bottom"/>
          </w:tcPr>
          <w:p>
            <w:pPr>
              <w:spacing w:after="0"/>
              <w:rPr>
                <w:sz w:val="13"/>
                <w:szCs w:val="13"/>
                <w:color w:val="auto"/>
              </w:rPr>
            </w:pPr>
          </w:p>
        </w:tc>
        <w:tc>
          <w:tcPr>
            <w:tcW w:w="1800" w:type="dxa"/>
            <w:vAlign w:val="bottom"/>
            <w:gridSpan w:val="2"/>
          </w:tcPr>
          <w:p>
            <w:pPr>
              <w:spacing w:after="0" w:line="155" w:lineRule="exact"/>
              <w:rPr>
                <w:sz w:val="20"/>
                <w:szCs w:val="20"/>
                <w:color w:val="auto"/>
              </w:rPr>
            </w:pPr>
            <w:r>
              <w:rPr>
                <w:rFonts w:ascii="Times New Roman" w:cs="Times New Roman" w:eastAsia="Times New Roman" w:hAnsi="Times New Roman"/>
                <w:sz w:val="15"/>
                <w:szCs w:val="15"/>
                <w:i w:val="1"/>
                <w:iCs w:val="1"/>
                <w:color w:val="auto"/>
              </w:rPr>
              <w:t>Chief Executive Officer</w:t>
            </w:r>
          </w:p>
        </w:tc>
      </w:tr>
      <w:tr>
        <w:trPr>
          <w:trHeight w:val="204"/>
        </w:trPr>
        <w:tc>
          <w:tcPr>
            <w:tcW w:w="480" w:type="dxa"/>
            <w:vAlign w:val="bottom"/>
          </w:tcPr>
          <w:p>
            <w:pPr>
              <w:spacing w:after="0"/>
              <w:rPr>
                <w:sz w:val="17"/>
                <w:szCs w:val="17"/>
                <w:color w:val="auto"/>
              </w:rPr>
            </w:pPr>
          </w:p>
        </w:tc>
        <w:tc>
          <w:tcPr>
            <w:tcW w:w="1800" w:type="dxa"/>
            <w:vAlign w:val="bottom"/>
            <w:gridSpan w:val="2"/>
          </w:tcPr>
          <w:p>
            <w:pPr>
              <w:spacing w:after="0"/>
              <w:rPr>
                <w:sz w:val="20"/>
                <w:szCs w:val="20"/>
                <w:color w:val="auto"/>
              </w:rPr>
            </w:pPr>
            <w:r>
              <w:rPr>
                <w:rFonts w:ascii="Times New Roman" w:cs="Times New Roman" w:eastAsia="Times New Roman" w:hAnsi="Times New Roman"/>
                <w:sz w:val="15"/>
                <w:szCs w:val="15"/>
                <w:i w:val="1"/>
                <w:iCs w:val="1"/>
                <w:color w:val="auto"/>
              </w:rPr>
              <w:t>(Principal Executive Officer)</w:t>
            </w:r>
          </w:p>
        </w:tc>
      </w:tr>
    </w:tbl>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Date: March 2, 2026</w:t>
      </w:r>
    </w:p>
    <w:p>
      <w:pPr>
        <w:spacing w:after="0" w:line="201" w:lineRule="exact"/>
        <w:rPr>
          <w:sz w:val="20"/>
          <w:szCs w:val="20"/>
          <w:color w:val="auto"/>
        </w:rPr>
      </w:pPr>
    </w:p>
    <w:p>
      <w:pPr>
        <w:ind w:right="60" w:firstLine="619"/>
        <w:spacing w:after="0" w:line="307" w:lineRule="auto"/>
        <w:rPr>
          <w:sz w:val="20"/>
          <w:szCs w:val="20"/>
          <w:color w:val="auto"/>
        </w:rPr>
      </w:pPr>
      <w:r>
        <w:rPr>
          <w:rFonts w:ascii="Times New Roman" w:cs="Times New Roman" w:eastAsia="Times New Roman" w:hAnsi="Times New Roman"/>
          <w:sz w:val="15"/>
          <w:szCs w:val="15"/>
          <w:color w:val="auto"/>
        </w:rPr>
        <w:t>Pursuant to the requirements of the Securities Exchange Act of 1934, this Annual Report has been signed below by the following persons on behalf of the registrant and in the capacities and on the dates indicated.</w:t>
      </w:r>
    </w:p>
    <w:p>
      <w:pPr>
        <w:spacing w:after="0" w:line="199" w:lineRule="exact"/>
        <w:rPr>
          <w:sz w:val="20"/>
          <w:szCs w:val="20"/>
          <w:color w:val="auto"/>
        </w:rPr>
      </w:pPr>
    </w:p>
    <w:tbl>
      <w:tblPr>
        <w:tblLayout w:type="fixed"/>
        <w:tblInd w:w="620" w:type="dxa"/>
        <w:tblCellMar>
          <w:top w:w="0" w:type="dxa"/>
          <w:left w:w="0" w:type="dxa"/>
          <w:bottom w:w="0" w:type="dxa"/>
          <w:right w:w="0" w:type="dxa"/>
        </w:tblCellMar>
      </w:tblPr>
      <w:tr>
        <w:trPr>
          <w:trHeight w:val="204"/>
        </w:trPr>
        <w:tc>
          <w:tcPr>
            <w:tcW w:w="462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SIGNATURES</w:t>
            </w:r>
          </w:p>
        </w:tc>
        <w:tc>
          <w:tcPr>
            <w:tcW w:w="43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TITLE</w:t>
            </w:r>
          </w:p>
        </w:tc>
        <w:tc>
          <w:tcPr>
            <w:tcW w:w="1620" w:type="dxa"/>
            <w:vAlign w:val="bottom"/>
          </w:tcPr>
          <w:p>
            <w:pPr>
              <w:jc w:val="center"/>
              <w:ind w:left="603"/>
              <w:spacing w:after="0"/>
              <w:rPr>
                <w:sz w:val="20"/>
                <w:szCs w:val="20"/>
                <w:color w:val="auto"/>
              </w:rPr>
            </w:pPr>
            <w:r>
              <w:rPr>
                <w:rFonts w:ascii="Times New Roman" w:cs="Times New Roman" w:eastAsia="Times New Roman" w:hAnsi="Times New Roman"/>
                <w:sz w:val="15"/>
                <w:szCs w:val="15"/>
                <w:b w:val="1"/>
                <w:bCs w:val="1"/>
                <w:color w:val="auto"/>
              </w:rPr>
              <w:t>DATE</w:t>
            </w:r>
          </w:p>
        </w:tc>
        <w:tc>
          <w:tcPr>
            <w:tcW w:w="0" w:type="dxa"/>
            <w:vAlign w:val="bottom"/>
          </w:tcPr>
          <w:p>
            <w:pPr>
              <w:spacing w:after="0"/>
              <w:rPr>
                <w:sz w:val="1"/>
                <w:szCs w:val="1"/>
                <w:color w:val="auto"/>
              </w:rPr>
            </w:pPr>
          </w:p>
        </w:tc>
      </w:tr>
      <w:tr>
        <w:trPr>
          <w:trHeight w:val="230"/>
        </w:trPr>
        <w:tc>
          <w:tcPr>
            <w:tcW w:w="462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auto"/>
              </w:rPr>
              <w:t>/s/ J. Eric Evans</w:t>
            </w:r>
          </w:p>
        </w:tc>
        <w:tc>
          <w:tcPr>
            <w:tcW w:w="43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Chief Executive Officer, Director</w:t>
            </w:r>
          </w:p>
        </w:tc>
        <w:tc>
          <w:tcPr>
            <w:tcW w:w="1620" w:type="dxa"/>
            <w:vAlign w:val="bottom"/>
            <w:vMerge w:val="restart"/>
          </w:tcPr>
          <w:p>
            <w:pPr>
              <w:jc w:val="center"/>
              <w:ind w:left="623"/>
              <w:spacing w:after="0"/>
              <w:rPr>
                <w:sz w:val="20"/>
                <w:szCs w:val="20"/>
                <w:color w:val="auto"/>
              </w:rPr>
            </w:pPr>
            <w:r>
              <w:rPr>
                <w:rFonts w:ascii="Times New Roman" w:cs="Times New Roman" w:eastAsia="Times New Roman" w:hAnsi="Times New Roman"/>
                <w:sz w:val="15"/>
                <w:szCs w:val="15"/>
                <w:color w:val="auto"/>
              </w:rPr>
              <w:t>March 2, 2026</w:t>
            </w:r>
          </w:p>
        </w:tc>
        <w:tc>
          <w:tcPr>
            <w:tcW w:w="0" w:type="dxa"/>
            <w:vAlign w:val="bottom"/>
          </w:tcPr>
          <w:p>
            <w:pPr>
              <w:spacing w:after="0"/>
              <w:rPr>
                <w:sz w:val="1"/>
                <w:szCs w:val="1"/>
                <w:color w:val="auto"/>
              </w:rPr>
            </w:pPr>
          </w:p>
        </w:tc>
      </w:tr>
      <w:tr>
        <w:trPr>
          <w:trHeight w:val="190"/>
        </w:trPr>
        <w:tc>
          <w:tcPr>
            <w:tcW w:w="4620" w:type="dxa"/>
            <w:vAlign w:val="bottom"/>
            <w:tcBorders>
              <w:bottom w:val="single" w:sz="8" w:color="auto"/>
            </w:tcBorders>
            <w:vMerge w:val="continue"/>
          </w:tcPr>
          <w:p>
            <w:pPr>
              <w:spacing w:after="0"/>
              <w:rPr>
                <w:sz w:val="16"/>
                <w:szCs w:val="16"/>
                <w:color w:val="auto"/>
              </w:rPr>
            </w:pPr>
          </w:p>
        </w:tc>
        <w:tc>
          <w:tcPr>
            <w:tcW w:w="43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(Principal Executive Officer)</w:t>
            </w:r>
          </w:p>
        </w:tc>
        <w:tc>
          <w:tcPr>
            <w:tcW w:w="1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6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J. Eric Evans</w:t>
            </w:r>
          </w:p>
        </w:tc>
        <w:tc>
          <w:tcPr>
            <w:tcW w:w="43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2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auto"/>
              </w:rPr>
              <w:t>/s/ David T. Doherty</w:t>
            </w:r>
          </w:p>
        </w:tc>
        <w:tc>
          <w:tcPr>
            <w:tcW w:w="43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Executive Vice President and Chief Financial Officer</w:t>
            </w:r>
          </w:p>
        </w:tc>
        <w:tc>
          <w:tcPr>
            <w:tcW w:w="1620" w:type="dxa"/>
            <w:vAlign w:val="bottom"/>
            <w:vMerge w:val="restart"/>
          </w:tcPr>
          <w:p>
            <w:pPr>
              <w:jc w:val="center"/>
              <w:ind w:left="623"/>
              <w:spacing w:after="0"/>
              <w:rPr>
                <w:sz w:val="20"/>
                <w:szCs w:val="20"/>
                <w:color w:val="auto"/>
              </w:rPr>
            </w:pPr>
            <w:r>
              <w:rPr>
                <w:rFonts w:ascii="Times New Roman" w:cs="Times New Roman" w:eastAsia="Times New Roman" w:hAnsi="Times New Roman"/>
                <w:sz w:val="15"/>
                <w:szCs w:val="15"/>
                <w:color w:val="auto"/>
              </w:rPr>
              <w:t>March 2, 2026</w:t>
            </w:r>
          </w:p>
        </w:tc>
        <w:tc>
          <w:tcPr>
            <w:tcW w:w="0" w:type="dxa"/>
            <w:vAlign w:val="bottom"/>
          </w:tcPr>
          <w:p>
            <w:pPr>
              <w:spacing w:after="0"/>
              <w:rPr>
                <w:sz w:val="1"/>
                <w:szCs w:val="1"/>
                <w:color w:val="auto"/>
              </w:rPr>
            </w:pPr>
          </w:p>
        </w:tc>
      </w:tr>
      <w:tr>
        <w:trPr>
          <w:trHeight w:val="190"/>
        </w:trPr>
        <w:tc>
          <w:tcPr>
            <w:tcW w:w="4620" w:type="dxa"/>
            <w:vAlign w:val="bottom"/>
            <w:tcBorders>
              <w:bottom w:val="single" w:sz="8" w:color="auto"/>
            </w:tcBorders>
            <w:vMerge w:val="continue"/>
          </w:tcPr>
          <w:p>
            <w:pPr>
              <w:spacing w:after="0"/>
              <w:rPr>
                <w:sz w:val="16"/>
                <w:szCs w:val="16"/>
                <w:color w:val="auto"/>
              </w:rPr>
            </w:pPr>
          </w:p>
        </w:tc>
        <w:tc>
          <w:tcPr>
            <w:tcW w:w="43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(Principal Financial and Accounting Officer)</w:t>
            </w:r>
          </w:p>
        </w:tc>
        <w:tc>
          <w:tcPr>
            <w:tcW w:w="1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6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David T. Doherty</w:t>
            </w:r>
          </w:p>
        </w:tc>
        <w:tc>
          <w:tcPr>
            <w:tcW w:w="43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5"/>
        </w:trPr>
        <w:tc>
          <w:tcPr>
            <w:tcW w:w="4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/s/ Blair E. Hendrix</w:t>
            </w:r>
          </w:p>
        </w:tc>
        <w:tc>
          <w:tcPr>
            <w:tcW w:w="43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Chairman of the Board</w:t>
            </w:r>
          </w:p>
        </w:tc>
        <w:tc>
          <w:tcPr>
            <w:tcW w:w="1620" w:type="dxa"/>
            <w:vAlign w:val="bottom"/>
          </w:tcPr>
          <w:p>
            <w:pPr>
              <w:jc w:val="center"/>
              <w:ind w:left="623"/>
              <w:spacing w:after="0"/>
              <w:rPr>
                <w:sz w:val="20"/>
                <w:szCs w:val="20"/>
                <w:color w:val="auto"/>
              </w:rPr>
            </w:pPr>
            <w:r>
              <w:rPr>
                <w:rFonts w:ascii="Times New Roman" w:cs="Times New Roman" w:eastAsia="Times New Roman" w:hAnsi="Times New Roman"/>
                <w:sz w:val="15"/>
                <w:szCs w:val="15"/>
                <w:color w:val="auto"/>
              </w:rPr>
              <w:t>March 2, 2026</w:t>
            </w:r>
          </w:p>
        </w:tc>
        <w:tc>
          <w:tcPr>
            <w:tcW w:w="0" w:type="dxa"/>
            <w:vAlign w:val="bottom"/>
          </w:tcPr>
          <w:p>
            <w:pPr>
              <w:spacing w:after="0"/>
              <w:rPr>
                <w:sz w:val="1"/>
                <w:szCs w:val="1"/>
                <w:color w:val="auto"/>
              </w:rPr>
            </w:pPr>
          </w:p>
        </w:tc>
      </w:tr>
      <w:tr>
        <w:trPr>
          <w:trHeight w:val="196"/>
        </w:trPr>
        <w:tc>
          <w:tcPr>
            <w:tcW w:w="46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Blair E. Hendrix</w:t>
            </w:r>
          </w:p>
        </w:tc>
        <w:tc>
          <w:tcPr>
            <w:tcW w:w="43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5"/>
        </w:trPr>
        <w:tc>
          <w:tcPr>
            <w:tcW w:w="4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/s/ T. Devin O'Reilly</w:t>
            </w:r>
          </w:p>
        </w:tc>
        <w:tc>
          <w:tcPr>
            <w:tcW w:w="43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Director</w:t>
            </w:r>
          </w:p>
        </w:tc>
        <w:tc>
          <w:tcPr>
            <w:tcW w:w="1620" w:type="dxa"/>
            <w:vAlign w:val="bottom"/>
          </w:tcPr>
          <w:p>
            <w:pPr>
              <w:jc w:val="center"/>
              <w:ind w:left="623"/>
              <w:spacing w:after="0"/>
              <w:rPr>
                <w:sz w:val="20"/>
                <w:szCs w:val="20"/>
                <w:color w:val="auto"/>
              </w:rPr>
            </w:pPr>
            <w:r>
              <w:rPr>
                <w:rFonts w:ascii="Times New Roman" w:cs="Times New Roman" w:eastAsia="Times New Roman" w:hAnsi="Times New Roman"/>
                <w:sz w:val="15"/>
                <w:szCs w:val="15"/>
                <w:color w:val="auto"/>
              </w:rPr>
              <w:t>March 2, 2026</w:t>
            </w:r>
          </w:p>
        </w:tc>
        <w:tc>
          <w:tcPr>
            <w:tcW w:w="0" w:type="dxa"/>
            <w:vAlign w:val="bottom"/>
          </w:tcPr>
          <w:p>
            <w:pPr>
              <w:spacing w:after="0"/>
              <w:rPr>
                <w:sz w:val="1"/>
                <w:szCs w:val="1"/>
                <w:color w:val="auto"/>
              </w:rPr>
            </w:pPr>
          </w:p>
        </w:tc>
      </w:tr>
      <w:tr>
        <w:trPr>
          <w:trHeight w:val="196"/>
        </w:trPr>
        <w:tc>
          <w:tcPr>
            <w:tcW w:w="46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T. Devin O'Reilly</w:t>
            </w:r>
          </w:p>
        </w:tc>
        <w:tc>
          <w:tcPr>
            <w:tcW w:w="43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5"/>
        </w:trPr>
        <w:tc>
          <w:tcPr>
            <w:tcW w:w="4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/s/ Teresa DeLuca</w:t>
            </w:r>
          </w:p>
        </w:tc>
        <w:tc>
          <w:tcPr>
            <w:tcW w:w="43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Director</w:t>
            </w:r>
          </w:p>
        </w:tc>
        <w:tc>
          <w:tcPr>
            <w:tcW w:w="1620" w:type="dxa"/>
            <w:vAlign w:val="bottom"/>
          </w:tcPr>
          <w:p>
            <w:pPr>
              <w:jc w:val="center"/>
              <w:ind w:left="623"/>
              <w:spacing w:after="0"/>
              <w:rPr>
                <w:sz w:val="20"/>
                <w:szCs w:val="20"/>
                <w:color w:val="auto"/>
              </w:rPr>
            </w:pPr>
            <w:r>
              <w:rPr>
                <w:rFonts w:ascii="Times New Roman" w:cs="Times New Roman" w:eastAsia="Times New Roman" w:hAnsi="Times New Roman"/>
                <w:sz w:val="15"/>
                <w:szCs w:val="15"/>
                <w:color w:val="auto"/>
              </w:rPr>
              <w:t>March 2, 2026</w:t>
            </w:r>
          </w:p>
        </w:tc>
        <w:tc>
          <w:tcPr>
            <w:tcW w:w="0" w:type="dxa"/>
            <w:vAlign w:val="bottom"/>
          </w:tcPr>
          <w:p>
            <w:pPr>
              <w:spacing w:after="0"/>
              <w:rPr>
                <w:sz w:val="1"/>
                <w:szCs w:val="1"/>
                <w:color w:val="auto"/>
              </w:rPr>
            </w:pPr>
          </w:p>
        </w:tc>
      </w:tr>
      <w:tr>
        <w:trPr>
          <w:trHeight w:val="196"/>
        </w:trPr>
        <w:tc>
          <w:tcPr>
            <w:tcW w:w="46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Teresa DeLuca</w:t>
            </w:r>
          </w:p>
        </w:tc>
        <w:tc>
          <w:tcPr>
            <w:tcW w:w="43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5"/>
        </w:trPr>
        <w:tc>
          <w:tcPr>
            <w:tcW w:w="4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/s/ John A. Deane</w:t>
            </w:r>
          </w:p>
        </w:tc>
        <w:tc>
          <w:tcPr>
            <w:tcW w:w="43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Director</w:t>
            </w:r>
          </w:p>
        </w:tc>
        <w:tc>
          <w:tcPr>
            <w:tcW w:w="1620" w:type="dxa"/>
            <w:vAlign w:val="bottom"/>
          </w:tcPr>
          <w:p>
            <w:pPr>
              <w:jc w:val="center"/>
              <w:ind w:left="623"/>
              <w:spacing w:after="0"/>
              <w:rPr>
                <w:sz w:val="20"/>
                <w:szCs w:val="20"/>
                <w:color w:val="auto"/>
              </w:rPr>
            </w:pPr>
            <w:r>
              <w:rPr>
                <w:rFonts w:ascii="Times New Roman" w:cs="Times New Roman" w:eastAsia="Times New Roman" w:hAnsi="Times New Roman"/>
                <w:sz w:val="15"/>
                <w:szCs w:val="15"/>
                <w:color w:val="auto"/>
              </w:rPr>
              <w:t>March 2, 2026</w:t>
            </w:r>
          </w:p>
        </w:tc>
        <w:tc>
          <w:tcPr>
            <w:tcW w:w="0" w:type="dxa"/>
            <w:vAlign w:val="bottom"/>
          </w:tcPr>
          <w:p>
            <w:pPr>
              <w:spacing w:after="0"/>
              <w:rPr>
                <w:sz w:val="1"/>
                <w:szCs w:val="1"/>
                <w:color w:val="auto"/>
              </w:rPr>
            </w:pPr>
          </w:p>
        </w:tc>
      </w:tr>
      <w:tr>
        <w:trPr>
          <w:trHeight w:val="196"/>
        </w:trPr>
        <w:tc>
          <w:tcPr>
            <w:tcW w:w="46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John A. Deane</w:t>
            </w:r>
          </w:p>
        </w:tc>
        <w:tc>
          <w:tcPr>
            <w:tcW w:w="43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5"/>
        </w:trPr>
        <w:tc>
          <w:tcPr>
            <w:tcW w:w="4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/s/ Brent Turner</w:t>
            </w:r>
          </w:p>
        </w:tc>
        <w:tc>
          <w:tcPr>
            <w:tcW w:w="43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Director</w:t>
            </w:r>
          </w:p>
        </w:tc>
        <w:tc>
          <w:tcPr>
            <w:tcW w:w="1620" w:type="dxa"/>
            <w:vAlign w:val="bottom"/>
          </w:tcPr>
          <w:p>
            <w:pPr>
              <w:jc w:val="center"/>
              <w:ind w:left="623"/>
              <w:spacing w:after="0"/>
              <w:rPr>
                <w:sz w:val="20"/>
                <w:szCs w:val="20"/>
                <w:color w:val="auto"/>
              </w:rPr>
            </w:pPr>
            <w:r>
              <w:rPr>
                <w:rFonts w:ascii="Times New Roman" w:cs="Times New Roman" w:eastAsia="Times New Roman" w:hAnsi="Times New Roman"/>
                <w:sz w:val="15"/>
                <w:szCs w:val="15"/>
                <w:color w:val="auto"/>
              </w:rPr>
              <w:t>March 2, 2026</w:t>
            </w:r>
          </w:p>
        </w:tc>
        <w:tc>
          <w:tcPr>
            <w:tcW w:w="0" w:type="dxa"/>
            <w:vAlign w:val="bottom"/>
          </w:tcPr>
          <w:p>
            <w:pPr>
              <w:spacing w:after="0"/>
              <w:rPr>
                <w:sz w:val="1"/>
                <w:szCs w:val="1"/>
                <w:color w:val="auto"/>
              </w:rPr>
            </w:pPr>
          </w:p>
        </w:tc>
      </w:tr>
      <w:tr>
        <w:trPr>
          <w:trHeight w:val="196"/>
        </w:trPr>
        <w:tc>
          <w:tcPr>
            <w:tcW w:w="46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Brent Turner</w:t>
            </w:r>
          </w:p>
        </w:tc>
        <w:tc>
          <w:tcPr>
            <w:tcW w:w="43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5"/>
        </w:trPr>
        <w:tc>
          <w:tcPr>
            <w:tcW w:w="4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/s/ Andrew Kaplan</w:t>
            </w:r>
          </w:p>
        </w:tc>
        <w:tc>
          <w:tcPr>
            <w:tcW w:w="43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Director</w:t>
            </w:r>
          </w:p>
        </w:tc>
        <w:tc>
          <w:tcPr>
            <w:tcW w:w="1620" w:type="dxa"/>
            <w:vAlign w:val="bottom"/>
          </w:tcPr>
          <w:p>
            <w:pPr>
              <w:jc w:val="center"/>
              <w:ind w:left="623"/>
              <w:spacing w:after="0"/>
              <w:rPr>
                <w:sz w:val="20"/>
                <w:szCs w:val="20"/>
                <w:color w:val="auto"/>
              </w:rPr>
            </w:pPr>
            <w:r>
              <w:rPr>
                <w:rFonts w:ascii="Times New Roman" w:cs="Times New Roman" w:eastAsia="Times New Roman" w:hAnsi="Times New Roman"/>
                <w:sz w:val="15"/>
                <w:szCs w:val="15"/>
                <w:color w:val="auto"/>
              </w:rPr>
              <w:t>March 2, 2026</w:t>
            </w:r>
          </w:p>
        </w:tc>
        <w:tc>
          <w:tcPr>
            <w:tcW w:w="0" w:type="dxa"/>
            <w:vAlign w:val="bottom"/>
          </w:tcPr>
          <w:p>
            <w:pPr>
              <w:spacing w:after="0"/>
              <w:rPr>
                <w:sz w:val="1"/>
                <w:szCs w:val="1"/>
                <w:color w:val="auto"/>
              </w:rPr>
            </w:pPr>
          </w:p>
        </w:tc>
      </w:tr>
      <w:tr>
        <w:trPr>
          <w:trHeight w:val="196"/>
        </w:trPr>
        <w:tc>
          <w:tcPr>
            <w:tcW w:w="46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Andrew Kaplan</w:t>
            </w:r>
          </w:p>
        </w:tc>
        <w:tc>
          <w:tcPr>
            <w:tcW w:w="43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5"/>
        </w:trPr>
        <w:tc>
          <w:tcPr>
            <w:tcW w:w="4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/s/ Clifford G. Adlerz</w:t>
            </w:r>
          </w:p>
        </w:tc>
        <w:tc>
          <w:tcPr>
            <w:tcW w:w="43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Director</w:t>
            </w:r>
          </w:p>
        </w:tc>
        <w:tc>
          <w:tcPr>
            <w:tcW w:w="1620" w:type="dxa"/>
            <w:vAlign w:val="bottom"/>
          </w:tcPr>
          <w:p>
            <w:pPr>
              <w:jc w:val="center"/>
              <w:ind w:left="623"/>
              <w:spacing w:after="0"/>
              <w:rPr>
                <w:sz w:val="20"/>
                <w:szCs w:val="20"/>
                <w:color w:val="auto"/>
              </w:rPr>
            </w:pPr>
            <w:r>
              <w:rPr>
                <w:rFonts w:ascii="Times New Roman" w:cs="Times New Roman" w:eastAsia="Times New Roman" w:hAnsi="Times New Roman"/>
                <w:sz w:val="15"/>
                <w:szCs w:val="15"/>
                <w:color w:val="auto"/>
              </w:rPr>
              <w:t>March 2, 2026</w:t>
            </w:r>
          </w:p>
        </w:tc>
        <w:tc>
          <w:tcPr>
            <w:tcW w:w="0" w:type="dxa"/>
            <w:vAlign w:val="bottom"/>
          </w:tcPr>
          <w:p>
            <w:pPr>
              <w:spacing w:after="0"/>
              <w:rPr>
                <w:sz w:val="1"/>
                <w:szCs w:val="1"/>
                <w:color w:val="auto"/>
              </w:rPr>
            </w:pPr>
          </w:p>
        </w:tc>
      </w:tr>
      <w:tr>
        <w:trPr>
          <w:trHeight w:val="196"/>
        </w:trPr>
        <w:tc>
          <w:tcPr>
            <w:tcW w:w="46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Clifford G. Adlerz</w:t>
            </w:r>
          </w:p>
        </w:tc>
        <w:tc>
          <w:tcPr>
            <w:tcW w:w="43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5"/>
        </w:trPr>
        <w:tc>
          <w:tcPr>
            <w:tcW w:w="4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/s/ Laura L. Forese</w:t>
            </w:r>
          </w:p>
        </w:tc>
        <w:tc>
          <w:tcPr>
            <w:tcW w:w="43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Director</w:t>
            </w:r>
          </w:p>
        </w:tc>
        <w:tc>
          <w:tcPr>
            <w:tcW w:w="1620" w:type="dxa"/>
            <w:vAlign w:val="bottom"/>
          </w:tcPr>
          <w:p>
            <w:pPr>
              <w:jc w:val="center"/>
              <w:ind w:left="623"/>
              <w:spacing w:after="0"/>
              <w:rPr>
                <w:sz w:val="20"/>
                <w:szCs w:val="20"/>
                <w:color w:val="auto"/>
              </w:rPr>
            </w:pPr>
            <w:r>
              <w:rPr>
                <w:rFonts w:ascii="Times New Roman" w:cs="Times New Roman" w:eastAsia="Times New Roman" w:hAnsi="Times New Roman"/>
                <w:sz w:val="15"/>
                <w:szCs w:val="15"/>
                <w:color w:val="auto"/>
              </w:rPr>
              <w:t>March 2, 2026</w:t>
            </w:r>
          </w:p>
        </w:tc>
        <w:tc>
          <w:tcPr>
            <w:tcW w:w="0" w:type="dxa"/>
            <w:vAlign w:val="bottom"/>
          </w:tcPr>
          <w:p>
            <w:pPr>
              <w:spacing w:after="0"/>
              <w:rPr>
                <w:sz w:val="1"/>
                <w:szCs w:val="1"/>
                <w:color w:val="auto"/>
              </w:rPr>
            </w:pPr>
          </w:p>
        </w:tc>
      </w:tr>
      <w:tr>
        <w:trPr>
          <w:trHeight w:val="196"/>
        </w:trPr>
        <w:tc>
          <w:tcPr>
            <w:tcW w:w="46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Laura L. Forese</w:t>
            </w:r>
          </w:p>
        </w:tc>
        <w:tc>
          <w:tcPr>
            <w:tcW w:w="43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5"/>
        </w:trPr>
        <w:tc>
          <w:tcPr>
            <w:tcW w:w="4620" w:type="dxa"/>
            <w:vAlign w:val="bottom"/>
            <w:tcBorders>
              <w:bottom w:val="single" w:sz="8" w:color="auto"/>
            </w:tcBorders>
          </w:tcPr>
          <w:p>
            <w:pPr>
              <w:spacing w:after="0"/>
              <w:rPr>
                <w:sz w:val="24"/>
                <w:szCs w:val="24"/>
                <w:color w:val="auto"/>
              </w:rPr>
            </w:pPr>
          </w:p>
        </w:tc>
        <w:tc>
          <w:tcPr>
            <w:tcW w:w="43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Director</w:t>
            </w:r>
          </w:p>
        </w:tc>
        <w:tc>
          <w:tcPr>
            <w:tcW w:w="1620" w:type="dxa"/>
            <w:vAlign w:val="bottom"/>
          </w:tcPr>
          <w:p>
            <w:pPr>
              <w:jc w:val="center"/>
              <w:ind w:left="623"/>
              <w:spacing w:after="0"/>
              <w:rPr>
                <w:sz w:val="20"/>
                <w:szCs w:val="20"/>
                <w:color w:val="auto"/>
              </w:rPr>
            </w:pPr>
            <w:r>
              <w:rPr>
                <w:rFonts w:ascii="Times New Roman" w:cs="Times New Roman" w:eastAsia="Times New Roman" w:hAnsi="Times New Roman"/>
                <w:sz w:val="15"/>
                <w:szCs w:val="15"/>
                <w:color w:val="auto"/>
              </w:rPr>
              <w:t>March 2, 2026</w:t>
            </w:r>
          </w:p>
        </w:tc>
        <w:tc>
          <w:tcPr>
            <w:tcW w:w="0" w:type="dxa"/>
            <w:vAlign w:val="bottom"/>
          </w:tcPr>
          <w:p>
            <w:pPr>
              <w:spacing w:after="0"/>
              <w:rPr>
                <w:sz w:val="1"/>
                <w:szCs w:val="1"/>
                <w:color w:val="auto"/>
              </w:rPr>
            </w:pPr>
          </w:p>
        </w:tc>
      </w:tr>
      <w:tr>
        <w:trPr>
          <w:trHeight w:val="196"/>
        </w:trPr>
        <w:tc>
          <w:tcPr>
            <w:tcW w:w="46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Lloyd Dean</w:t>
            </w:r>
          </w:p>
        </w:tc>
        <w:tc>
          <w:tcPr>
            <w:tcW w:w="43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0" w:right="339" w:bottom="1440" w:gutter="0" w:footer="0" w:header="0"/>
        </w:sectPr>
      </w:pPr>
    </w:p>
    <w:bookmarkStart w:id="82" w:name="page83"/>
    <w:bookmarkEnd w:id="82"/>
    <w:p>
      <w:pPr>
        <w:jc w:val="right"/>
        <w:spacing w:after="0"/>
        <w:rPr>
          <w:sz w:val="20"/>
          <w:szCs w:val="20"/>
          <w:color w:val="auto"/>
        </w:rPr>
      </w:pPr>
      <w:r>
        <w:rPr>
          <w:rFonts w:ascii="Times New Roman" w:cs="Times New Roman" w:eastAsia="Times New Roman" w:hAnsi="Times New Roman"/>
          <w:sz w:val="15"/>
          <w:szCs w:val="15"/>
          <w:b w:val="1"/>
          <w:bCs w:val="1"/>
          <w:color w:val="auto"/>
        </w:rPr>
        <w:t>Exhibit 4.3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First Supplemental Indenture</w:t>
      </w:r>
    </w:p>
    <w:p>
      <w:pPr>
        <w:spacing w:after="0" w:line="224" w:lineRule="exact"/>
        <w:rPr>
          <w:sz w:val="20"/>
          <w:szCs w:val="20"/>
          <w:color w:val="auto"/>
        </w:rPr>
      </w:pPr>
    </w:p>
    <w:p>
      <w:pPr>
        <w:ind w:right="500" w:firstLine="619"/>
        <w:spacing w:after="0" w:line="283" w:lineRule="auto"/>
        <w:rPr>
          <w:sz w:val="20"/>
          <w:szCs w:val="20"/>
          <w:color w:val="auto"/>
        </w:rPr>
      </w:pPr>
      <w:r>
        <w:rPr>
          <w:rFonts w:ascii="Times New Roman" w:cs="Times New Roman" w:eastAsia="Times New Roman" w:hAnsi="Times New Roman"/>
          <w:sz w:val="18"/>
          <w:szCs w:val="18"/>
          <w:color w:val="auto"/>
        </w:rPr>
        <w:t>FIRST SUPPLEMENTAL INDENTURE (this “</w:t>
      </w:r>
      <w:r>
        <w:rPr>
          <w:rFonts w:ascii="Times New Roman" w:cs="Times New Roman" w:eastAsia="Times New Roman" w:hAnsi="Times New Roman"/>
          <w:sz w:val="18"/>
          <w:szCs w:val="18"/>
          <w:u w:val="single" w:color="auto"/>
          <w:color w:val="auto"/>
        </w:rPr>
        <w:t>Supplemental Indenture</w:t>
      </w:r>
      <w:r>
        <w:rPr>
          <w:rFonts w:ascii="Times New Roman" w:cs="Times New Roman" w:eastAsia="Times New Roman" w:hAnsi="Times New Roman"/>
          <w:sz w:val="18"/>
          <w:szCs w:val="18"/>
          <w:color w:val="auto"/>
        </w:rPr>
        <w:t>”) dated as of June 18, 2024, by and among Eastside Alliance Support Services, LLC, a Delaware limited liability company (the “</w:t>
      </w:r>
      <w:r>
        <w:rPr>
          <w:rFonts w:ascii="Times New Roman" w:cs="Times New Roman" w:eastAsia="Times New Roman" w:hAnsi="Times New Roman"/>
          <w:sz w:val="18"/>
          <w:szCs w:val="18"/>
          <w:u w:val="single" w:color="auto"/>
          <w:color w:val="auto"/>
        </w:rPr>
        <w:t>Guaranteeing Subsidiary</w:t>
      </w:r>
      <w:r>
        <w:rPr>
          <w:rFonts w:ascii="Times New Roman" w:cs="Times New Roman" w:eastAsia="Times New Roman" w:hAnsi="Times New Roman"/>
          <w:sz w:val="18"/>
          <w:szCs w:val="18"/>
          <w:color w:val="auto"/>
        </w:rPr>
        <w:t>”), Surgery Center Holdings, Inc., a Delaware corporation (the “</w:t>
      </w:r>
      <w:r>
        <w:rPr>
          <w:rFonts w:ascii="Times New Roman" w:cs="Times New Roman" w:eastAsia="Times New Roman" w:hAnsi="Times New Roman"/>
          <w:sz w:val="18"/>
          <w:szCs w:val="18"/>
          <w:u w:val="single" w:color="auto"/>
          <w:color w:val="auto"/>
        </w:rPr>
        <w:t>Issuer</w:t>
      </w:r>
      <w:r>
        <w:rPr>
          <w:rFonts w:ascii="Times New Roman" w:cs="Times New Roman" w:eastAsia="Times New Roman" w:hAnsi="Times New Roman"/>
          <w:sz w:val="18"/>
          <w:szCs w:val="18"/>
          <w:color w:val="auto"/>
        </w:rPr>
        <w:t>”), and Wilmington Trust, National Association, as trustee under the Indenture referred to below (the “</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u w:val="single" w:color="auto"/>
          <w:color w:val="auto"/>
        </w:rPr>
        <w:t>W I T N E S S E T H</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ind w:right="20" w:firstLine="619"/>
        <w:spacing w:after="0" w:line="262" w:lineRule="auto"/>
        <w:rPr>
          <w:sz w:val="20"/>
          <w:szCs w:val="20"/>
          <w:color w:val="auto"/>
        </w:rPr>
      </w:pPr>
      <w:r>
        <w:rPr>
          <w:rFonts w:ascii="Times New Roman" w:cs="Times New Roman" w:eastAsia="Times New Roman" w:hAnsi="Times New Roman"/>
          <w:sz w:val="19"/>
          <w:szCs w:val="19"/>
          <w:color w:val="auto"/>
        </w:rPr>
        <w:t>WHEREAS, each of the Issuer and the Trustee have heretofore executed and delivered an indenture dated as of April 10, 2024 (as amended, supplemented, waived or otherwise modified from time to time, the “</w:t>
      </w:r>
      <w:r>
        <w:rPr>
          <w:rFonts w:ascii="Times New Roman" w:cs="Times New Roman" w:eastAsia="Times New Roman" w:hAnsi="Times New Roman"/>
          <w:sz w:val="19"/>
          <w:szCs w:val="19"/>
          <w:u w:val="single" w:color="auto"/>
          <w:color w:val="auto"/>
        </w:rPr>
        <w:t>Indenture</w:t>
      </w:r>
      <w:r>
        <w:rPr>
          <w:rFonts w:ascii="Times New Roman" w:cs="Times New Roman" w:eastAsia="Times New Roman" w:hAnsi="Times New Roman"/>
          <w:sz w:val="19"/>
          <w:szCs w:val="19"/>
          <w:color w:val="auto"/>
        </w:rPr>
        <w:t>”), providing for the issuance of an aggregate principal amount of $800,000,000 of 7.250% Senior Notes due 2032 (the “</w:t>
      </w:r>
      <w:r>
        <w:rPr>
          <w:rFonts w:ascii="Times New Roman" w:cs="Times New Roman" w:eastAsia="Times New Roman" w:hAnsi="Times New Roman"/>
          <w:sz w:val="19"/>
          <w:szCs w:val="19"/>
          <w:u w:val="single" w:color="auto"/>
          <w:color w:val="auto"/>
        </w:rPr>
        <w:t>Notes</w:t>
      </w:r>
      <w:r>
        <w:rPr>
          <w:rFonts w:ascii="Times New Roman" w:cs="Times New Roman" w:eastAsia="Times New Roman" w:hAnsi="Times New Roman"/>
          <w:sz w:val="19"/>
          <w:szCs w:val="19"/>
          <w:color w:val="auto"/>
        </w:rPr>
        <w:t>”) of the Issuer;</w:t>
      </w:r>
    </w:p>
    <w:p>
      <w:pPr>
        <w:spacing w:after="0" w:line="174" w:lineRule="exact"/>
        <w:rPr>
          <w:sz w:val="20"/>
          <w:szCs w:val="20"/>
          <w:color w:val="auto"/>
        </w:rPr>
      </w:pPr>
    </w:p>
    <w:p>
      <w:pPr>
        <w:ind w:right="100" w:firstLine="619"/>
        <w:spacing w:after="0" w:line="262" w:lineRule="auto"/>
        <w:rPr>
          <w:sz w:val="20"/>
          <w:szCs w:val="20"/>
          <w:color w:val="auto"/>
        </w:rPr>
      </w:pPr>
      <w:r>
        <w:rPr>
          <w:rFonts w:ascii="Times New Roman" w:cs="Times New Roman" w:eastAsia="Times New Roman" w:hAnsi="Times New Roman"/>
          <w:sz w:val="19"/>
          <w:szCs w:val="19"/>
          <w:color w:val="auto"/>
        </w:rPr>
        <w:t>WHEREAS, the Indenture provides that under certain circumstances the Guaranteeing Subsidiary shall execute and deliver to the Trustee a supplemental indenture pursuant to which the Guaranteeing Subsidiary shall unconditionally guarantee all of Issuer’s Obligations under the Notes and the Indenture on the terms and conditions set forth herein and under the Indenture (the “</w:t>
      </w:r>
      <w:r>
        <w:rPr>
          <w:rFonts w:ascii="Times New Roman" w:cs="Times New Roman" w:eastAsia="Times New Roman" w:hAnsi="Times New Roman"/>
          <w:sz w:val="19"/>
          <w:szCs w:val="19"/>
          <w:u w:val="single" w:color="auto"/>
          <w:color w:val="auto"/>
        </w:rPr>
        <w:t>Note Guarantee</w:t>
      </w:r>
      <w:r>
        <w:rPr>
          <w:rFonts w:ascii="Times New Roman" w:cs="Times New Roman" w:eastAsia="Times New Roman" w:hAnsi="Times New Roman"/>
          <w:sz w:val="19"/>
          <w:szCs w:val="19"/>
          <w:color w:val="auto"/>
        </w:rPr>
        <w:t>”); and</w:t>
      </w:r>
    </w:p>
    <w:p>
      <w:pPr>
        <w:spacing w:after="0" w:line="174" w:lineRule="exact"/>
        <w:rPr>
          <w:sz w:val="20"/>
          <w:szCs w:val="20"/>
          <w:color w:val="auto"/>
        </w:rPr>
      </w:pPr>
    </w:p>
    <w:p>
      <w:pPr>
        <w:ind w:right="260" w:firstLine="619"/>
        <w:spacing w:after="0" w:line="269" w:lineRule="auto"/>
        <w:rPr>
          <w:sz w:val="20"/>
          <w:szCs w:val="20"/>
          <w:color w:val="auto"/>
        </w:rPr>
      </w:pPr>
      <w:r>
        <w:rPr>
          <w:rFonts w:ascii="Times New Roman" w:cs="Times New Roman" w:eastAsia="Times New Roman" w:hAnsi="Times New Roman"/>
          <w:sz w:val="19"/>
          <w:szCs w:val="19"/>
          <w:color w:val="auto"/>
        </w:rPr>
        <w:t xml:space="preserve">WHEREAS, pursuant to </w:t>
      </w:r>
      <w:r>
        <w:rPr>
          <w:rFonts w:ascii="Times New Roman" w:cs="Times New Roman" w:eastAsia="Times New Roman" w:hAnsi="Times New Roman"/>
          <w:sz w:val="19"/>
          <w:szCs w:val="19"/>
          <w:u w:val="single" w:color="auto"/>
          <w:color w:val="auto"/>
        </w:rPr>
        <w:t>Section 9.1</w:t>
      </w:r>
      <w:r>
        <w:rPr>
          <w:rFonts w:ascii="Times New Roman" w:cs="Times New Roman" w:eastAsia="Times New Roman" w:hAnsi="Times New Roman"/>
          <w:sz w:val="19"/>
          <w:szCs w:val="19"/>
          <w:color w:val="auto"/>
        </w:rPr>
        <w:t xml:space="preserve"> of the Indenture, the Issuer, any Guarantor and the Trustee are authorized to execute and deliver this Supplemental Indenture to amend or supplement the Indenture, without the consent of any Holder;</w:t>
      </w:r>
    </w:p>
    <w:p>
      <w:pPr>
        <w:spacing w:after="0" w:line="168" w:lineRule="exact"/>
        <w:rPr>
          <w:sz w:val="20"/>
          <w:szCs w:val="20"/>
          <w:color w:val="auto"/>
        </w:rPr>
      </w:pPr>
    </w:p>
    <w:p>
      <w:pPr>
        <w:ind w:firstLine="619"/>
        <w:spacing w:after="0" w:line="262" w:lineRule="auto"/>
        <w:rPr>
          <w:sz w:val="20"/>
          <w:szCs w:val="20"/>
          <w:color w:val="auto"/>
        </w:rPr>
      </w:pPr>
      <w:r>
        <w:rPr>
          <w:rFonts w:ascii="Times New Roman" w:cs="Times New Roman" w:eastAsia="Times New Roman" w:hAnsi="Times New Roman"/>
          <w:sz w:val="19"/>
          <w:szCs w:val="19"/>
          <w:color w:val="auto"/>
        </w:rPr>
        <w:t>NOW, THEREFORE, in consideration of the foregoing and for other good and valuable consideration, the receipt of which is hereby acknowledged, the Issuer, the Guaranteeing Subsidiary and the Trustee mutually covenant and agree for the benefit of the Trustee and the Holders of the Notes as follows:</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ARTICLE I</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DEFINITIONS</w:t>
      </w:r>
    </w:p>
    <w:p>
      <w:pPr>
        <w:spacing w:after="0" w:line="220" w:lineRule="exact"/>
        <w:rPr>
          <w:sz w:val="20"/>
          <w:szCs w:val="20"/>
          <w:color w:val="auto"/>
        </w:rPr>
      </w:pPr>
    </w:p>
    <w:p>
      <w:pPr>
        <w:ind w:right="140" w:firstLine="619"/>
        <w:spacing w:after="0" w:line="262" w:lineRule="auto"/>
        <w:rPr>
          <w:sz w:val="20"/>
          <w:szCs w:val="20"/>
          <w:color w:val="auto"/>
        </w:rPr>
      </w:pPr>
      <w:r>
        <w:rPr>
          <w:rFonts w:ascii="Times New Roman" w:cs="Times New Roman" w:eastAsia="Times New Roman" w:hAnsi="Times New Roman"/>
          <w:sz w:val="19"/>
          <w:szCs w:val="19"/>
          <w:color w:val="auto"/>
        </w:rPr>
        <w:t xml:space="preserve">SECTION 1.1. </w:t>
      </w:r>
      <w:r>
        <w:rPr>
          <w:rFonts w:ascii="Times New Roman" w:cs="Times New Roman" w:eastAsia="Times New Roman" w:hAnsi="Times New Roman"/>
          <w:sz w:val="19"/>
          <w:szCs w:val="19"/>
          <w:u w:val="single" w:color="auto"/>
          <w:color w:val="auto"/>
        </w:rPr>
        <w:t>Defined Terms</w:t>
      </w:r>
      <w:r>
        <w:rPr>
          <w:rFonts w:ascii="Times New Roman" w:cs="Times New Roman" w:eastAsia="Times New Roman" w:hAnsi="Times New Roman"/>
          <w:sz w:val="19"/>
          <w:szCs w:val="19"/>
          <w:color w:val="auto"/>
        </w:rPr>
        <w:t>. As used in this Supplemental Indenture, terms defined in the Indenture or in the preamble or recitals hereto are used herein as therein defined. The words “herein,” “hereof” and “hereby” and other words of similar import used in this Supplemental Indenture refer to this Supplemental Indenture as a whole and not to any particular section hereof.</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ARTICLE II</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AGREEMENT TO BE BOUND; GUARANTEE</w:t>
      </w:r>
    </w:p>
    <w:p>
      <w:pPr>
        <w:spacing w:after="0" w:line="220" w:lineRule="exact"/>
        <w:rPr>
          <w:sz w:val="20"/>
          <w:szCs w:val="20"/>
          <w:color w:val="auto"/>
        </w:rPr>
      </w:pPr>
    </w:p>
    <w:p>
      <w:pPr>
        <w:ind w:right="180" w:firstLine="619"/>
        <w:spacing w:after="0" w:line="269" w:lineRule="auto"/>
        <w:rPr>
          <w:sz w:val="20"/>
          <w:szCs w:val="20"/>
          <w:color w:val="auto"/>
        </w:rPr>
      </w:pPr>
      <w:r>
        <w:rPr>
          <w:rFonts w:ascii="Times New Roman" w:cs="Times New Roman" w:eastAsia="Times New Roman" w:hAnsi="Times New Roman"/>
          <w:sz w:val="19"/>
          <w:szCs w:val="19"/>
          <w:color w:val="auto"/>
        </w:rPr>
        <w:t xml:space="preserve">SECTION 2.1. </w:t>
      </w:r>
      <w:r>
        <w:rPr>
          <w:rFonts w:ascii="Times New Roman" w:cs="Times New Roman" w:eastAsia="Times New Roman" w:hAnsi="Times New Roman"/>
          <w:sz w:val="19"/>
          <w:szCs w:val="19"/>
          <w:u w:val="single" w:color="auto"/>
          <w:color w:val="auto"/>
        </w:rPr>
        <w:t>Agreement to be Bound</w:t>
      </w:r>
      <w:r>
        <w:rPr>
          <w:rFonts w:ascii="Times New Roman" w:cs="Times New Roman" w:eastAsia="Times New Roman" w:hAnsi="Times New Roman"/>
          <w:sz w:val="19"/>
          <w:szCs w:val="19"/>
          <w:color w:val="auto"/>
        </w:rPr>
        <w:t>. The Guaranteeing Subsidiary hereby becomes a party to the Indenture as a Guarantor and as such will have all of the rights and be subject to all of the obligations and agreements of a Guarantor under the Indenture.</w:t>
      </w:r>
    </w:p>
    <w:p>
      <w:pPr>
        <w:spacing w:after="0" w:line="168" w:lineRule="exact"/>
        <w:rPr>
          <w:sz w:val="20"/>
          <w:szCs w:val="20"/>
          <w:color w:val="auto"/>
        </w:rPr>
      </w:pPr>
    </w:p>
    <w:p>
      <w:pPr>
        <w:ind w:right="400" w:firstLine="619"/>
        <w:spacing w:after="0" w:line="262" w:lineRule="auto"/>
        <w:rPr>
          <w:sz w:val="20"/>
          <w:szCs w:val="20"/>
          <w:color w:val="auto"/>
        </w:rPr>
      </w:pPr>
      <w:r>
        <w:rPr>
          <w:rFonts w:ascii="Times New Roman" w:cs="Times New Roman" w:eastAsia="Times New Roman" w:hAnsi="Times New Roman"/>
          <w:sz w:val="19"/>
          <w:szCs w:val="19"/>
          <w:color w:val="auto"/>
        </w:rPr>
        <w:t xml:space="preserve">SECTION 2.2. </w:t>
      </w:r>
      <w:r>
        <w:rPr>
          <w:rFonts w:ascii="Times New Roman" w:cs="Times New Roman" w:eastAsia="Times New Roman" w:hAnsi="Times New Roman"/>
          <w:sz w:val="19"/>
          <w:szCs w:val="19"/>
          <w:u w:val="single" w:color="auto"/>
          <w:color w:val="auto"/>
        </w:rPr>
        <w:t>Guarantee</w:t>
      </w:r>
      <w:r>
        <w:rPr>
          <w:rFonts w:ascii="Times New Roman" w:cs="Times New Roman" w:eastAsia="Times New Roman" w:hAnsi="Times New Roman"/>
          <w:sz w:val="19"/>
          <w:szCs w:val="19"/>
          <w:color w:val="auto"/>
        </w:rPr>
        <w:t xml:space="preserve">. The Guaranteeing Subsidiary agrees, on a joint and several basis with all the existing Guarantors, to fully, unconditionally and irrevocably Guarantee to each Holder of the Notes and the Trustee the Guaranteed Obligations pursuant to </w:t>
      </w:r>
      <w:r>
        <w:rPr>
          <w:rFonts w:ascii="Times New Roman" w:cs="Times New Roman" w:eastAsia="Times New Roman" w:hAnsi="Times New Roman"/>
          <w:sz w:val="19"/>
          <w:szCs w:val="19"/>
          <w:u w:val="single" w:color="auto"/>
          <w:color w:val="auto"/>
        </w:rPr>
        <w:t>Article X</w:t>
      </w:r>
      <w:r>
        <w:rPr>
          <w:rFonts w:ascii="Times New Roman" w:cs="Times New Roman" w:eastAsia="Times New Roman" w:hAnsi="Times New Roman"/>
          <w:sz w:val="19"/>
          <w:szCs w:val="19"/>
          <w:color w:val="auto"/>
        </w:rPr>
        <w:t xml:space="preserve"> of the Indenture on a senior basis.</w:t>
      </w:r>
    </w:p>
    <w:p>
      <w:pPr>
        <w:sectPr>
          <w:pgSz w:w="11900" w:h="16838" w:orient="portrait"/>
          <w:cols w:equalWidth="0" w:num="1">
            <w:col w:w="11240"/>
          </w:cols>
          <w:pgMar w:left="320" w:top="123" w:right="339" w:bottom="1440" w:gutter="0" w:footer="0" w:header="0"/>
        </w:sectPr>
      </w:pPr>
    </w:p>
    <w:bookmarkStart w:id="83" w:name="page84"/>
    <w:bookmarkEnd w:id="83"/>
    <w:p>
      <w:pPr>
        <w:jc w:val="center"/>
        <w:ind w:right="-59"/>
        <w:spacing w:after="0"/>
        <w:rPr>
          <w:sz w:val="20"/>
          <w:szCs w:val="20"/>
          <w:color w:val="auto"/>
        </w:rPr>
      </w:pPr>
      <w:r>
        <w:rPr>
          <w:rFonts w:ascii="Times New Roman" w:cs="Times New Roman" w:eastAsia="Times New Roman" w:hAnsi="Times New Roman"/>
          <w:sz w:val="19"/>
          <w:szCs w:val="19"/>
          <w:color w:val="auto"/>
        </w:rPr>
        <w:t>ARTICLE III</w:t>
      </w:r>
    </w:p>
    <w:p>
      <w:pPr>
        <w:spacing w:after="0" w:line="23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color w:val="auto"/>
        </w:rPr>
        <w:t>MISCELLANEOUS</w:t>
      </w:r>
    </w:p>
    <w:p>
      <w:pPr>
        <w:spacing w:after="0" w:line="20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 xml:space="preserve">SECTION 3.1. </w:t>
      </w:r>
      <w:r>
        <w:rPr>
          <w:rFonts w:ascii="Times New Roman" w:cs="Times New Roman" w:eastAsia="Times New Roman" w:hAnsi="Times New Roman"/>
          <w:sz w:val="19"/>
          <w:szCs w:val="19"/>
          <w:u w:val="single" w:color="auto"/>
          <w:color w:val="auto"/>
        </w:rPr>
        <w:t>Notices</w:t>
      </w:r>
      <w:r>
        <w:rPr>
          <w:rFonts w:ascii="Times New Roman" w:cs="Times New Roman" w:eastAsia="Times New Roman" w:hAnsi="Times New Roman"/>
          <w:sz w:val="19"/>
          <w:szCs w:val="19"/>
          <w:color w:val="auto"/>
        </w:rPr>
        <w:t>. All notices and other communications to the Guarantors shall be given as provided in the Indenture.</w:t>
      </w:r>
    </w:p>
    <w:p>
      <w:pPr>
        <w:spacing w:after="0" w:line="220" w:lineRule="exact"/>
        <w:rPr>
          <w:sz w:val="20"/>
          <w:szCs w:val="20"/>
          <w:color w:val="auto"/>
        </w:rPr>
      </w:pPr>
    </w:p>
    <w:p>
      <w:pPr>
        <w:ind w:right="180" w:firstLine="619"/>
        <w:spacing w:after="0" w:line="262" w:lineRule="auto"/>
        <w:rPr>
          <w:sz w:val="20"/>
          <w:szCs w:val="20"/>
          <w:color w:val="auto"/>
        </w:rPr>
      </w:pPr>
      <w:r>
        <w:rPr>
          <w:rFonts w:ascii="Times New Roman" w:cs="Times New Roman" w:eastAsia="Times New Roman" w:hAnsi="Times New Roman"/>
          <w:sz w:val="19"/>
          <w:szCs w:val="19"/>
          <w:color w:val="auto"/>
        </w:rPr>
        <w:t xml:space="preserve">SECTION 3.2. </w:t>
      </w:r>
      <w:r>
        <w:rPr>
          <w:rFonts w:ascii="Times New Roman" w:cs="Times New Roman" w:eastAsia="Times New Roman" w:hAnsi="Times New Roman"/>
          <w:sz w:val="19"/>
          <w:szCs w:val="19"/>
          <w:u w:val="single" w:color="auto"/>
          <w:color w:val="auto"/>
        </w:rPr>
        <w:t>Merger and Consolidation</w:t>
      </w:r>
      <w:r>
        <w:rPr>
          <w:rFonts w:ascii="Times New Roman" w:cs="Times New Roman" w:eastAsia="Times New Roman" w:hAnsi="Times New Roman"/>
          <w:sz w:val="19"/>
          <w:szCs w:val="19"/>
          <w:color w:val="auto"/>
        </w:rPr>
        <w:t xml:space="preserve">. The Guaranteeing Subsidiary shall not sell or otherwise dispose of all or substantially all of its assets to, or consolidate with or merge with or into, another Person (other than the Issuer or any Restricted Subsidiary that is a Guarantor or becomes a Guarantor concurrently with the transaction) except in accordance with </w:t>
      </w:r>
      <w:r>
        <w:rPr>
          <w:rFonts w:ascii="Times New Roman" w:cs="Times New Roman" w:eastAsia="Times New Roman" w:hAnsi="Times New Roman"/>
          <w:sz w:val="19"/>
          <w:szCs w:val="19"/>
          <w:u w:val="single" w:color="auto"/>
          <w:color w:val="auto"/>
        </w:rPr>
        <w:t>Section 4.1(f)</w:t>
      </w:r>
      <w:r>
        <w:rPr>
          <w:rFonts w:ascii="Times New Roman" w:cs="Times New Roman" w:eastAsia="Times New Roman" w:hAnsi="Times New Roman"/>
          <w:sz w:val="19"/>
          <w:szCs w:val="19"/>
          <w:color w:val="auto"/>
        </w:rPr>
        <w:t xml:space="preserve"> of the Indenture.</w:t>
      </w:r>
    </w:p>
    <w:p>
      <w:pPr>
        <w:spacing w:after="0" w:line="17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 xml:space="preserve">SECTION 3.3. </w:t>
      </w:r>
      <w:r>
        <w:rPr>
          <w:rFonts w:ascii="Times New Roman" w:cs="Times New Roman" w:eastAsia="Times New Roman" w:hAnsi="Times New Roman"/>
          <w:sz w:val="19"/>
          <w:szCs w:val="19"/>
          <w:u w:val="single" w:color="auto"/>
          <w:color w:val="auto"/>
        </w:rPr>
        <w:t>Release of Guarantee</w:t>
      </w:r>
      <w:r>
        <w:rPr>
          <w:rFonts w:ascii="Times New Roman" w:cs="Times New Roman" w:eastAsia="Times New Roman" w:hAnsi="Times New Roman"/>
          <w:sz w:val="19"/>
          <w:szCs w:val="19"/>
          <w:color w:val="auto"/>
        </w:rPr>
        <w:t xml:space="preserve">. The Note Guarantees hereunder may be released in accordance with </w:t>
      </w:r>
      <w:r>
        <w:rPr>
          <w:rFonts w:ascii="Times New Roman" w:cs="Times New Roman" w:eastAsia="Times New Roman" w:hAnsi="Times New Roman"/>
          <w:sz w:val="19"/>
          <w:szCs w:val="19"/>
          <w:u w:val="single" w:color="auto"/>
          <w:color w:val="auto"/>
        </w:rPr>
        <w:t>Section 10.2</w:t>
      </w:r>
      <w:r>
        <w:rPr>
          <w:rFonts w:ascii="Times New Roman" w:cs="Times New Roman" w:eastAsia="Times New Roman" w:hAnsi="Times New Roman"/>
          <w:sz w:val="19"/>
          <w:szCs w:val="19"/>
          <w:color w:val="auto"/>
        </w:rPr>
        <w:t xml:space="preserve"> of the Indenture.</w:t>
      </w:r>
    </w:p>
    <w:p>
      <w:pPr>
        <w:spacing w:after="0" w:line="207" w:lineRule="exact"/>
        <w:rPr>
          <w:sz w:val="20"/>
          <w:szCs w:val="20"/>
          <w:color w:val="auto"/>
        </w:rPr>
      </w:pPr>
    </w:p>
    <w:p>
      <w:pPr>
        <w:ind w:right="260" w:firstLine="619"/>
        <w:spacing w:after="0" w:line="262" w:lineRule="auto"/>
        <w:rPr>
          <w:sz w:val="20"/>
          <w:szCs w:val="20"/>
          <w:color w:val="auto"/>
        </w:rPr>
      </w:pPr>
      <w:r>
        <w:rPr>
          <w:rFonts w:ascii="Times New Roman" w:cs="Times New Roman" w:eastAsia="Times New Roman" w:hAnsi="Times New Roman"/>
          <w:sz w:val="19"/>
          <w:szCs w:val="19"/>
          <w:color w:val="auto"/>
        </w:rPr>
        <w:t xml:space="preserve">SECTION 3.4. </w:t>
      </w:r>
      <w:r>
        <w:rPr>
          <w:rFonts w:ascii="Times New Roman" w:cs="Times New Roman" w:eastAsia="Times New Roman" w:hAnsi="Times New Roman"/>
          <w:sz w:val="19"/>
          <w:szCs w:val="19"/>
          <w:u w:val="single" w:color="auto"/>
          <w:color w:val="auto"/>
        </w:rPr>
        <w:t>Parties</w:t>
      </w:r>
      <w:r>
        <w:rPr>
          <w:rFonts w:ascii="Times New Roman" w:cs="Times New Roman" w:eastAsia="Times New Roman" w:hAnsi="Times New Roman"/>
          <w:sz w:val="19"/>
          <w:szCs w:val="19"/>
          <w:color w:val="auto"/>
        </w:rPr>
        <w:t>. Nothing expressed or mentioned herein is intended or shall be construed to give any Person, firm or corporation, other than the Holders and the Trustee, any legal or equitable right, remedy or claim under or in respect of this Supplemental Indenture or the Indenture or any provision herein or therein contained.</w:t>
      </w:r>
    </w:p>
    <w:p>
      <w:pPr>
        <w:spacing w:after="0" w:line="174" w:lineRule="exact"/>
        <w:rPr>
          <w:sz w:val="20"/>
          <w:szCs w:val="20"/>
          <w:color w:val="auto"/>
        </w:rPr>
      </w:pPr>
    </w:p>
    <w:p>
      <w:pPr>
        <w:ind w:right="40" w:firstLine="619"/>
        <w:spacing w:after="0" w:line="283" w:lineRule="auto"/>
        <w:rPr>
          <w:sz w:val="20"/>
          <w:szCs w:val="20"/>
          <w:color w:val="auto"/>
        </w:rPr>
      </w:pPr>
      <w:r>
        <w:rPr>
          <w:rFonts w:ascii="Times New Roman" w:cs="Times New Roman" w:eastAsia="Times New Roman" w:hAnsi="Times New Roman"/>
          <w:sz w:val="19"/>
          <w:szCs w:val="19"/>
          <w:color w:val="auto"/>
        </w:rPr>
        <w:t xml:space="preserve">SECTION 3.5. </w:t>
      </w:r>
      <w:r>
        <w:rPr>
          <w:rFonts w:ascii="Times New Roman" w:cs="Times New Roman" w:eastAsia="Times New Roman" w:hAnsi="Times New Roman"/>
          <w:sz w:val="19"/>
          <w:szCs w:val="19"/>
          <w:u w:val="single" w:color="auto"/>
          <w:color w:val="auto"/>
        </w:rPr>
        <w:t>Governing Law</w:t>
      </w:r>
      <w:r>
        <w:rPr>
          <w:rFonts w:ascii="Times New Roman" w:cs="Times New Roman" w:eastAsia="Times New Roman" w:hAnsi="Times New Roman"/>
          <w:sz w:val="19"/>
          <w:szCs w:val="19"/>
          <w:color w:val="auto"/>
        </w:rPr>
        <w:t>. This Supplemental Indenture shall be governed by, and construed in accordance with, the laws of the State of New York.</w:t>
      </w:r>
    </w:p>
    <w:p>
      <w:pPr>
        <w:spacing w:after="0" w:line="142" w:lineRule="exact"/>
        <w:rPr>
          <w:sz w:val="20"/>
          <w:szCs w:val="20"/>
          <w:color w:val="auto"/>
        </w:rPr>
      </w:pPr>
    </w:p>
    <w:p>
      <w:pPr>
        <w:ind w:right="120" w:firstLine="619"/>
        <w:spacing w:after="0" w:line="262" w:lineRule="auto"/>
        <w:rPr>
          <w:sz w:val="20"/>
          <w:szCs w:val="20"/>
          <w:color w:val="auto"/>
        </w:rPr>
      </w:pPr>
      <w:r>
        <w:rPr>
          <w:rFonts w:ascii="Times New Roman" w:cs="Times New Roman" w:eastAsia="Times New Roman" w:hAnsi="Times New Roman"/>
          <w:sz w:val="19"/>
          <w:szCs w:val="19"/>
          <w:color w:val="auto"/>
        </w:rPr>
        <w:t xml:space="preserve">SECTION 3.6. </w:t>
      </w:r>
      <w:r>
        <w:rPr>
          <w:rFonts w:ascii="Times New Roman" w:cs="Times New Roman" w:eastAsia="Times New Roman" w:hAnsi="Times New Roman"/>
          <w:sz w:val="19"/>
          <w:szCs w:val="19"/>
          <w:u w:val="single" w:color="auto"/>
          <w:color w:val="auto"/>
        </w:rPr>
        <w:t>Severability</w:t>
      </w:r>
      <w:r>
        <w:rPr>
          <w:rFonts w:ascii="Times New Roman" w:cs="Times New Roman" w:eastAsia="Times New Roman" w:hAnsi="Times New Roman"/>
          <w:sz w:val="19"/>
          <w:szCs w:val="19"/>
          <w:color w:val="auto"/>
        </w:rPr>
        <w:t>. In case any provision in this Supplemental Indenture shall be invalid, illegal or unenforceable, the validity, legality and enforceability of the remaining provisions shall not in any way be affected or impaired thereby and such provision shall be ineffective only to the extent of such invalidity, illegality or unenforceability.</w:t>
      </w:r>
    </w:p>
    <w:p>
      <w:pPr>
        <w:spacing w:after="0" w:line="174" w:lineRule="exact"/>
        <w:rPr>
          <w:sz w:val="20"/>
          <w:szCs w:val="20"/>
          <w:color w:val="auto"/>
        </w:rPr>
      </w:pPr>
    </w:p>
    <w:p>
      <w:pPr>
        <w:ind w:right="180" w:firstLine="619"/>
        <w:spacing w:after="0" w:line="259" w:lineRule="auto"/>
        <w:rPr>
          <w:sz w:val="20"/>
          <w:szCs w:val="20"/>
          <w:color w:val="auto"/>
        </w:rPr>
      </w:pPr>
      <w:r>
        <w:rPr>
          <w:rFonts w:ascii="Times New Roman" w:cs="Times New Roman" w:eastAsia="Times New Roman" w:hAnsi="Times New Roman"/>
          <w:sz w:val="19"/>
          <w:szCs w:val="19"/>
          <w:color w:val="auto"/>
        </w:rPr>
        <w:t xml:space="preserve">SECTION 3.7. </w:t>
      </w:r>
      <w:r>
        <w:rPr>
          <w:rFonts w:ascii="Times New Roman" w:cs="Times New Roman" w:eastAsia="Times New Roman" w:hAnsi="Times New Roman"/>
          <w:sz w:val="19"/>
          <w:szCs w:val="19"/>
          <w:u w:val="single" w:color="auto"/>
          <w:color w:val="auto"/>
        </w:rPr>
        <w:t>Benefits Acknowledged</w:t>
      </w:r>
      <w:r>
        <w:rPr>
          <w:rFonts w:ascii="Times New Roman" w:cs="Times New Roman" w:eastAsia="Times New Roman" w:hAnsi="Times New Roman"/>
          <w:sz w:val="19"/>
          <w:szCs w:val="19"/>
          <w:color w:val="auto"/>
        </w:rPr>
        <w:t>. The Guaranteeing Subsidiary’s Note Guarantee is subject to the terms and conditions set forth in the Indenture. The Guaranteeing Subsidiary acknowledges that it will receive direct and indirect benefits from the financing arrangements contemplated by the Indenture and this Supplemental Indenture and that the guarantee and waivers made by it pursuant to its Note Guarantee are knowingly made in contemplation of such benefits.</w:t>
      </w:r>
    </w:p>
    <w:p>
      <w:pPr>
        <w:spacing w:after="0" w:line="166" w:lineRule="exact"/>
        <w:rPr>
          <w:sz w:val="20"/>
          <w:szCs w:val="20"/>
          <w:color w:val="auto"/>
        </w:rPr>
      </w:pPr>
    </w:p>
    <w:p>
      <w:pPr>
        <w:ind w:right="80" w:firstLine="619"/>
        <w:spacing w:after="0" w:line="259" w:lineRule="auto"/>
        <w:rPr>
          <w:sz w:val="20"/>
          <w:szCs w:val="20"/>
          <w:color w:val="auto"/>
        </w:rPr>
      </w:pPr>
      <w:r>
        <w:rPr>
          <w:rFonts w:ascii="Times New Roman" w:cs="Times New Roman" w:eastAsia="Times New Roman" w:hAnsi="Times New Roman"/>
          <w:sz w:val="19"/>
          <w:szCs w:val="19"/>
          <w:color w:val="auto"/>
        </w:rPr>
        <w:t xml:space="preserve">SECTION 3.8. </w:t>
      </w:r>
      <w:r>
        <w:rPr>
          <w:rFonts w:ascii="Times New Roman" w:cs="Times New Roman" w:eastAsia="Times New Roman" w:hAnsi="Times New Roman"/>
          <w:sz w:val="19"/>
          <w:szCs w:val="19"/>
          <w:u w:val="single" w:color="auto"/>
          <w:color w:val="auto"/>
        </w:rPr>
        <w:t>Ratification of Indenture; Supplemental Indentures Part of Indenture</w:t>
      </w:r>
      <w:r>
        <w:rPr>
          <w:rFonts w:ascii="Times New Roman" w:cs="Times New Roman" w:eastAsia="Times New Roman" w:hAnsi="Times New Roman"/>
          <w:sz w:val="19"/>
          <w:szCs w:val="19"/>
          <w:color w:val="auto"/>
        </w:rPr>
        <w:t>. Except as expressly amended hereby, the Indenture is in all respects ratified and confirmed and all the terms, conditions and provisions thereof shall remain in full force and effect. This Supplemental Indenture shall form a part of the Indenture for all purposes, and every Holder of Notes heretofore or hereafter authenticated and delivered shall be bound hereby.</w:t>
      </w:r>
    </w:p>
    <w:p>
      <w:pPr>
        <w:spacing w:after="0" w:line="179" w:lineRule="exact"/>
        <w:rPr>
          <w:sz w:val="20"/>
          <w:szCs w:val="20"/>
          <w:color w:val="auto"/>
        </w:rPr>
      </w:pPr>
    </w:p>
    <w:p>
      <w:pPr>
        <w:ind w:right="680" w:firstLine="619"/>
        <w:spacing w:after="0" w:line="269" w:lineRule="auto"/>
        <w:rPr>
          <w:sz w:val="20"/>
          <w:szCs w:val="20"/>
          <w:color w:val="auto"/>
        </w:rPr>
      </w:pPr>
      <w:r>
        <w:rPr>
          <w:rFonts w:ascii="Times New Roman" w:cs="Times New Roman" w:eastAsia="Times New Roman" w:hAnsi="Times New Roman"/>
          <w:sz w:val="19"/>
          <w:szCs w:val="19"/>
          <w:color w:val="auto"/>
        </w:rPr>
        <w:t xml:space="preserve">SECTION 3.9. </w:t>
      </w:r>
      <w:r>
        <w:rPr>
          <w:rFonts w:ascii="Times New Roman" w:cs="Times New Roman" w:eastAsia="Times New Roman" w:hAnsi="Times New Roman"/>
          <w:sz w:val="19"/>
          <w:szCs w:val="19"/>
          <w:u w:val="single" w:color="auto"/>
          <w:color w:val="auto"/>
        </w:rPr>
        <w:t>The Trustee</w:t>
      </w:r>
      <w:r>
        <w:rPr>
          <w:rFonts w:ascii="Times New Roman" w:cs="Times New Roman" w:eastAsia="Times New Roman" w:hAnsi="Times New Roman"/>
          <w:sz w:val="19"/>
          <w:szCs w:val="19"/>
          <w:color w:val="auto"/>
        </w:rPr>
        <w:t>. The Trustee makes no representation or warranty as to the validity or sufficiency of this Supplemental Indenture or with respect to the recitals contained herein, all of which recitals are made solely by the other parties hereto.</w:t>
      </w:r>
    </w:p>
    <w:p>
      <w:pPr>
        <w:spacing w:after="0" w:line="168" w:lineRule="exact"/>
        <w:rPr>
          <w:sz w:val="20"/>
          <w:szCs w:val="20"/>
          <w:color w:val="auto"/>
        </w:rPr>
      </w:pPr>
    </w:p>
    <w:p>
      <w:pPr>
        <w:ind w:firstLine="619"/>
        <w:spacing w:after="0" w:line="259" w:lineRule="auto"/>
        <w:rPr>
          <w:sz w:val="20"/>
          <w:szCs w:val="20"/>
          <w:color w:val="auto"/>
        </w:rPr>
      </w:pPr>
      <w:r>
        <w:rPr>
          <w:rFonts w:ascii="Times New Roman" w:cs="Times New Roman" w:eastAsia="Times New Roman" w:hAnsi="Times New Roman"/>
          <w:sz w:val="19"/>
          <w:szCs w:val="19"/>
          <w:color w:val="auto"/>
        </w:rPr>
        <w:t xml:space="preserve">SECTION 3.10. </w:t>
      </w:r>
      <w:r>
        <w:rPr>
          <w:rFonts w:ascii="Times New Roman" w:cs="Times New Roman" w:eastAsia="Times New Roman" w:hAnsi="Times New Roman"/>
          <w:sz w:val="19"/>
          <w:szCs w:val="19"/>
          <w:u w:val="single" w:color="auto"/>
          <w:color w:val="auto"/>
        </w:rPr>
        <w:t>Counterparts</w:t>
      </w:r>
      <w:r>
        <w:rPr>
          <w:rFonts w:ascii="Times New Roman" w:cs="Times New Roman" w:eastAsia="Times New Roman" w:hAnsi="Times New Roman"/>
          <w:sz w:val="19"/>
          <w:szCs w:val="19"/>
          <w:color w:val="auto"/>
        </w:rPr>
        <w:t>. The parties hereto may sign any number of copies of this Supplemental Indenture. Each signed copy shall be an original, but all of them together represent the same agreement. The exchange of copies of this Supplemental Indenture and of signature pages by facsimile or electronic transmission shall constitute effective execution and delivery of this Supplemental Indenture as to the parties hereto and may be used in lieu of the original Supplemental Indenture for all</w:t>
      </w:r>
    </w:p>
    <w:p>
      <w:pPr>
        <w:sectPr>
          <w:pgSz w:w="11900" w:h="16838" w:orient="portrait"/>
          <w:cols w:equalWidth="0" w:num="1">
            <w:col w:w="11180"/>
          </w:cols>
          <w:pgMar w:left="320" w:top="1356" w:right="399" w:bottom="1440" w:gutter="0" w:footer="0" w:header="0"/>
        </w:sectPr>
      </w:pPr>
    </w:p>
    <w:bookmarkStart w:id="84" w:name="page85"/>
    <w:bookmarkEnd w:id="84"/>
    <w:p>
      <w:pPr>
        <w:ind w:right="160"/>
        <w:spacing w:after="0" w:line="283" w:lineRule="auto"/>
        <w:rPr>
          <w:sz w:val="20"/>
          <w:szCs w:val="20"/>
          <w:color w:val="auto"/>
        </w:rPr>
      </w:pPr>
      <w:r>
        <w:rPr>
          <w:rFonts w:ascii="Times New Roman" w:cs="Times New Roman" w:eastAsia="Times New Roman" w:hAnsi="Times New Roman"/>
          <w:sz w:val="19"/>
          <w:szCs w:val="19"/>
          <w:color w:val="auto"/>
        </w:rPr>
        <w:t>purposes. Signatures of the parties hereto transmitted by facsimile or electronic transmission shall be deemed to be their original signatures for all purposes.</w:t>
      </w:r>
    </w:p>
    <w:p>
      <w:pPr>
        <w:spacing w:after="0" w:line="142" w:lineRule="exact"/>
        <w:rPr>
          <w:sz w:val="20"/>
          <w:szCs w:val="20"/>
          <w:color w:val="auto"/>
        </w:rPr>
      </w:pPr>
    </w:p>
    <w:p>
      <w:pPr>
        <w:ind w:right="160" w:firstLine="619"/>
        <w:spacing w:after="0" w:line="283" w:lineRule="auto"/>
        <w:rPr>
          <w:sz w:val="20"/>
          <w:szCs w:val="20"/>
          <w:color w:val="auto"/>
        </w:rPr>
      </w:pPr>
      <w:r>
        <w:rPr>
          <w:rFonts w:ascii="Times New Roman" w:cs="Times New Roman" w:eastAsia="Times New Roman" w:hAnsi="Times New Roman"/>
          <w:sz w:val="19"/>
          <w:szCs w:val="19"/>
          <w:color w:val="auto"/>
        </w:rPr>
        <w:t xml:space="preserve">SECTION 3.11. </w:t>
      </w:r>
      <w:r>
        <w:rPr>
          <w:rFonts w:ascii="Times New Roman" w:cs="Times New Roman" w:eastAsia="Times New Roman" w:hAnsi="Times New Roman"/>
          <w:sz w:val="19"/>
          <w:szCs w:val="19"/>
          <w:u w:val="single" w:color="auto"/>
          <w:color w:val="auto"/>
        </w:rPr>
        <w:t>Execution and Delivery</w:t>
      </w:r>
      <w:r>
        <w:rPr>
          <w:rFonts w:ascii="Times New Roman" w:cs="Times New Roman" w:eastAsia="Times New Roman" w:hAnsi="Times New Roman"/>
          <w:sz w:val="19"/>
          <w:szCs w:val="19"/>
          <w:color w:val="auto"/>
        </w:rPr>
        <w:t>. The Guaranteeing Subsidiary agrees that its Note Guarantee shall remain in full force and effect notwithstanding any failure to endorse on each Note a notation of any such Note Guarantee.</w:t>
      </w:r>
    </w:p>
    <w:p>
      <w:pPr>
        <w:spacing w:after="0" w:line="142" w:lineRule="exact"/>
        <w:rPr>
          <w:sz w:val="20"/>
          <w:szCs w:val="20"/>
          <w:color w:val="auto"/>
        </w:rPr>
      </w:pPr>
    </w:p>
    <w:p>
      <w:pPr>
        <w:ind w:right="200" w:firstLine="619"/>
        <w:spacing w:after="0" w:line="283" w:lineRule="auto"/>
        <w:rPr>
          <w:sz w:val="20"/>
          <w:szCs w:val="20"/>
          <w:color w:val="auto"/>
        </w:rPr>
      </w:pPr>
      <w:r>
        <w:rPr>
          <w:rFonts w:ascii="Times New Roman" w:cs="Times New Roman" w:eastAsia="Times New Roman" w:hAnsi="Times New Roman"/>
          <w:sz w:val="19"/>
          <w:szCs w:val="19"/>
          <w:color w:val="auto"/>
        </w:rPr>
        <w:t xml:space="preserve">SECTION 3.12. </w:t>
      </w:r>
      <w:r>
        <w:rPr>
          <w:rFonts w:ascii="Times New Roman" w:cs="Times New Roman" w:eastAsia="Times New Roman" w:hAnsi="Times New Roman"/>
          <w:sz w:val="19"/>
          <w:szCs w:val="19"/>
          <w:u w:val="single" w:color="auto"/>
          <w:color w:val="auto"/>
        </w:rPr>
        <w:t>Headings</w:t>
      </w:r>
      <w:r>
        <w:rPr>
          <w:rFonts w:ascii="Times New Roman" w:cs="Times New Roman" w:eastAsia="Times New Roman" w:hAnsi="Times New Roman"/>
          <w:sz w:val="19"/>
          <w:szCs w:val="19"/>
          <w:color w:val="auto"/>
        </w:rPr>
        <w:t>. The headings of the Articles and the Sections in this Supplemental Indenture are for convenience of reference only and shall not be deemed to alter or affect the meaning or interpretation of any provisions hereof.</w:t>
      </w:r>
    </w:p>
    <w:p>
      <w:pPr>
        <w:spacing w:after="0" w:line="155" w:lineRule="exact"/>
        <w:rPr>
          <w:sz w:val="20"/>
          <w:szCs w:val="20"/>
          <w:color w:val="auto"/>
        </w:rPr>
      </w:pPr>
    </w:p>
    <w:p>
      <w:pPr>
        <w:ind w:firstLine="619"/>
        <w:spacing w:after="0" w:line="252" w:lineRule="auto"/>
        <w:rPr>
          <w:sz w:val="20"/>
          <w:szCs w:val="20"/>
          <w:color w:val="auto"/>
        </w:rPr>
      </w:pPr>
      <w:r>
        <w:rPr>
          <w:rFonts w:ascii="Times New Roman" w:cs="Times New Roman" w:eastAsia="Times New Roman" w:hAnsi="Times New Roman"/>
          <w:sz w:val="19"/>
          <w:szCs w:val="19"/>
          <w:color w:val="auto"/>
        </w:rPr>
        <w:t xml:space="preserve">SECTION 3.13. </w:t>
      </w:r>
      <w:r>
        <w:rPr>
          <w:rFonts w:ascii="Times New Roman" w:cs="Times New Roman" w:eastAsia="Times New Roman" w:hAnsi="Times New Roman"/>
          <w:sz w:val="19"/>
          <w:szCs w:val="19"/>
          <w:u w:val="single" w:color="auto"/>
          <w:color w:val="auto"/>
        </w:rPr>
        <w:t>Jurisdiction</w:t>
      </w:r>
      <w:r>
        <w:rPr>
          <w:rFonts w:ascii="Times New Roman" w:cs="Times New Roman" w:eastAsia="Times New Roman" w:hAnsi="Times New Roman"/>
          <w:sz w:val="19"/>
          <w:szCs w:val="19"/>
          <w:color w:val="auto"/>
        </w:rPr>
        <w:t>. The parties hereto agree that any suit, action or proceeding arising out of or based upon this Supplemental Indenture may be instituted in any state or Federal court in the Borough of Manhattan, New York, New York, and any appellate court from any thereof, and each party hereto irrevocably submits to the non-exclusive jurisdiction of such courts in any suit, action or proceeding. The parties hereto irrevocably waive, to the fullest extent permitted by law, any objection to any suit, action, or proceeding that may be brought in connection with this Supplemental Indenture, including such actions, suits or proceedings relating to securities laws of the United States or any state thereof, in such courts whether on the grounds of venue, residence or domicile or on the ground that any such suit, action or proceeding has been brought in an inconvenient forum. The parties hereto agree that final judgment in any such suit, action or proceeding brought in such court shall be conclusive and binding upon them, and may be enforced in any court to the jurisdiction of which they are subject by a suit upon such judgment.</w:t>
      </w:r>
    </w:p>
    <w:p>
      <w:pPr>
        <w:spacing w:after="0" w:line="176" w:lineRule="exact"/>
        <w:rPr>
          <w:sz w:val="20"/>
          <w:szCs w:val="20"/>
          <w:color w:val="auto"/>
        </w:rPr>
      </w:pPr>
    </w:p>
    <w:p>
      <w:pPr>
        <w:ind w:right="240" w:firstLine="619"/>
        <w:spacing w:after="0" w:line="259" w:lineRule="auto"/>
        <w:rPr>
          <w:sz w:val="20"/>
          <w:szCs w:val="20"/>
          <w:color w:val="auto"/>
        </w:rPr>
      </w:pPr>
      <w:r>
        <w:rPr>
          <w:rFonts w:ascii="Times New Roman" w:cs="Times New Roman" w:eastAsia="Times New Roman" w:hAnsi="Times New Roman"/>
          <w:sz w:val="19"/>
          <w:szCs w:val="19"/>
          <w:color w:val="auto"/>
        </w:rPr>
        <w:t xml:space="preserve">SECTION 3.14. </w:t>
      </w:r>
      <w:r>
        <w:rPr>
          <w:rFonts w:ascii="Times New Roman" w:cs="Times New Roman" w:eastAsia="Times New Roman" w:hAnsi="Times New Roman"/>
          <w:sz w:val="19"/>
          <w:szCs w:val="19"/>
          <w:u w:val="single" w:color="auto"/>
          <w:color w:val="auto"/>
        </w:rPr>
        <w:t>Waiver of Jury Trial</w:t>
      </w:r>
      <w:r>
        <w:rPr>
          <w:rFonts w:ascii="Times New Roman" w:cs="Times New Roman" w:eastAsia="Times New Roman" w:hAnsi="Times New Roman"/>
          <w:sz w:val="19"/>
          <w:szCs w:val="19"/>
          <w:color w:val="auto"/>
        </w:rPr>
        <w:t>. THE PARTIES HERETO HEREBY IRREVOCABLY AND UNCONDITIONALLY WAIVE, TO THE FULLEST EXTENT PERMITTED BY APPLICABLE LAW, ANY AND ALL RIGHT TO TRIAL BY JURY IN ANY LEGAL ACTION OR PROCEEDING ARISING OUT OF OR RELATING TO THIS SUPPLEMENTAL INDENTURE AND FOR ANY COUNTERCLAIM THEREIN.</w:t>
      </w:r>
    </w:p>
    <w:p>
      <w:pPr>
        <w:sectPr>
          <w:pgSz w:w="11900" w:h="16838" w:orient="portrait"/>
          <w:cols w:equalWidth="0" w:num="1">
            <w:col w:w="11180"/>
          </w:cols>
          <w:pgMar w:left="320" w:top="1356" w:right="39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color w:val="auto"/>
        </w:rPr>
        <w:t>IN WITNESS WHEREOF, the parties hereto have caused this Supplemental Indenture to be duly executed as of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SURGERY CENTER HOLDINGS, INC.</w:t>
      </w:r>
      <w:r>
        <w:rPr>
          <w:rFonts w:ascii="Times New Roman" w:cs="Times New Roman" w:eastAsia="Times New Roman" w:hAnsi="Times New Roman"/>
          <w:sz w:val="19"/>
          <w:szCs w:val="19"/>
          <w:color w:val="auto"/>
        </w:rPr>
        <w:t>, as Issuer</w:t>
      </w:r>
    </w:p>
    <w:p>
      <w:pPr>
        <w:spacing w:after="0" w:line="159" w:lineRule="exact"/>
        <w:rPr>
          <w:sz w:val="20"/>
          <w:szCs w:val="20"/>
          <w:color w:val="auto"/>
        </w:rPr>
      </w:pPr>
    </w:p>
    <w:p>
      <w:pPr>
        <w:ind w:left="20"/>
        <w:spacing w:after="0"/>
        <w:tabs>
          <w:tab w:leader="none" w:pos="560" w:val="left"/>
        </w:tabs>
        <w:rPr>
          <w:sz w:val="20"/>
          <w:szCs w:val="20"/>
          <w:color w:val="auto"/>
        </w:rPr>
      </w:pPr>
      <w:r>
        <w:rPr>
          <w:rFonts w:ascii="Arial" w:cs="Arial" w:eastAsia="Arial" w:hAnsi="Arial"/>
          <w:sz w:val="31"/>
          <w:szCs w:val="31"/>
          <w:color w:val="auto"/>
          <w:vertAlign w:val="superscript"/>
        </w:rPr>
        <w:t>By:</w:t>
      </w:r>
      <w:r>
        <w:rPr>
          <w:sz w:val="20"/>
          <w:szCs w:val="20"/>
          <w:color w:val="auto"/>
        </w:rPr>
        <w:tab/>
      </w:r>
      <w:r>
        <w:rPr>
          <w:rFonts w:ascii="Times New Roman" w:cs="Times New Roman" w:eastAsia="Times New Roman" w:hAnsi="Times New Roman"/>
          <w:sz w:val="19"/>
          <w:szCs w:val="19"/>
          <w:u w:val="single" w:color="auto"/>
          <w:color w:val="auto"/>
        </w:rPr>
        <w:t>/s/ Jennifer B. Baldock</w:t>
      </w:r>
    </w:p>
    <w:p>
      <w:pPr>
        <w:spacing w:after="0" w:line="15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9"/>
          <w:szCs w:val="19"/>
          <w:color w:val="auto"/>
        </w:rPr>
        <w:t>Jennifer B. Baldock</w:t>
      </w:r>
    </w:p>
    <w:p>
      <w:pPr>
        <w:spacing w:after="0" w:line="13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9"/>
          <w:szCs w:val="19"/>
          <w:i w:val="1"/>
          <w:iCs w:val="1"/>
          <w:color w:val="auto"/>
        </w:rPr>
        <w:t>Vice President and Secretary</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EASTSIDE ALLIANCE SUPPORT SERVICES, LLC</w:t>
      </w:r>
      <w:r>
        <w:rPr>
          <w:rFonts w:ascii="Times New Roman" w:cs="Times New Roman" w:eastAsia="Times New Roman" w:hAnsi="Times New Roman"/>
          <w:sz w:val="19"/>
          <w:szCs w:val="19"/>
          <w:color w:val="auto"/>
        </w:rPr>
        <w:t>,</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as a Guaranteeing Subsidiary</w:t>
      </w:r>
    </w:p>
    <w:p>
      <w:pPr>
        <w:spacing w:after="0" w:line="200" w:lineRule="exact"/>
        <w:rPr>
          <w:sz w:val="20"/>
          <w:szCs w:val="20"/>
          <w:color w:val="auto"/>
        </w:rPr>
      </w:pPr>
    </w:p>
    <w:p>
      <w:pPr>
        <w:spacing w:after="0" w:line="253" w:lineRule="exact"/>
        <w:rPr>
          <w:sz w:val="20"/>
          <w:szCs w:val="20"/>
          <w:color w:val="auto"/>
        </w:rPr>
      </w:pPr>
    </w:p>
    <w:tbl>
      <w:tblPr>
        <w:tblLayout w:type="fixed"/>
        <w:tblInd w:w="20" w:type="dxa"/>
        <w:tblCellMar>
          <w:top w:w="0" w:type="dxa"/>
          <w:left w:w="0" w:type="dxa"/>
          <w:bottom w:w="0" w:type="dxa"/>
          <w:right w:w="0" w:type="dxa"/>
        </w:tblCellMar>
      </w:tblPr>
      <w:tr>
        <w:trPr>
          <w:trHeight w:val="218"/>
        </w:trPr>
        <w:tc>
          <w:tcPr>
            <w:tcW w:w="560" w:type="dxa"/>
            <w:vAlign w:val="bottom"/>
          </w:tcPr>
          <w:p>
            <w:pPr>
              <w:spacing w:after="0"/>
              <w:rPr>
                <w:sz w:val="20"/>
                <w:szCs w:val="20"/>
                <w:color w:val="auto"/>
              </w:rPr>
            </w:pPr>
            <w:r>
              <w:rPr>
                <w:rFonts w:ascii="Arial" w:cs="Arial" w:eastAsia="Arial" w:hAnsi="Arial"/>
                <w:sz w:val="15"/>
                <w:szCs w:val="15"/>
                <w:color w:val="auto"/>
              </w:rPr>
              <w:t>By:</w:t>
            </w:r>
          </w:p>
        </w:tc>
        <w:tc>
          <w:tcPr>
            <w:tcW w:w="218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/s/ Jennifer B. Baldock</w:t>
            </w:r>
          </w:p>
        </w:tc>
      </w:tr>
      <w:tr>
        <w:trPr>
          <w:trHeight w:val="397"/>
        </w:trPr>
        <w:tc>
          <w:tcPr>
            <w:tcW w:w="560" w:type="dxa"/>
            <w:vAlign w:val="bottom"/>
          </w:tcPr>
          <w:p>
            <w:pPr>
              <w:spacing w:after="0"/>
              <w:rPr>
                <w:sz w:val="24"/>
                <w:szCs w:val="24"/>
                <w:color w:val="auto"/>
              </w:rPr>
            </w:pPr>
          </w:p>
        </w:tc>
        <w:tc>
          <w:tcPr>
            <w:tcW w:w="17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9"/>
                <w:szCs w:val="19"/>
                <w:color w:val="auto"/>
              </w:rPr>
              <w:t>Jennifer B. Baldock</w:t>
            </w:r>
          </w:p>
        </w:tc>
        <w:tc>
          <w:tcPr>
            <w:tcW w:w="460" w:type="dxa"/>
            <w:vAlign w:val="bottom"/>
          </w:tcPr>
          <w:p>
            <w:pPr>
              <w:spacing w:after="0"/>
              <w:rPr>
                <w:sz w:val="24"/>
                <w:szCs w:val="24"/>
                <w:color w:val="auto"/>
              </w:rPr>
            </w:pPr>
          </w:p>
        </w:tc>
      </w:tr>
      <w:tr>
        <w:trPr>
          <w:trHeight w:val="374"/>
        </w:trPr>
        <w:tc>
          <w:tcPr>
            <w:tcW w:w="560" w:type="dxa"/>
            <w:vAlign w:val="bottom"/>
          </w:tcPr>
          <w:p>
            <w:pPr>
              <w:spacing w:after="0"/>
              <w:rPr>
                <w:sz w:val="24"/>
                <w:szCs w:val="24"/>
                <w:color w:val="auto"/>
              </w:rPr>
            </w:pPr>
          </w:p>
        </w:tc>
        <w:tc>
          <w:tcPr>
            <w:tcW w:w="2180" w:type="dxa"/>
            <w:vAlign w:val="bottom"/>
            <w:gridSpan w:val="2"/>
          </w:tcPr>
          <w:p>
            <w:pPr>
              <w:spacing w:after="0"/>
              <w:rPr>
                <w:sz w:val="20"/>
                <w:szCs w:val="20"/>
                <w:color w:val="auto"/>
              </w:rPr>
            </w:pPr>
            <w:r>
              <w:rPr>
                <w:rFonts w:ascii="Times New Roman" w:cs="Times New Roman" w:eastAsia="Times New Roman" w:hAnsi="Times New Roman"/>
                <w:sz w:val="19"/>
                <w:szCs w:val="19"/>
                <w:i w:val="1"/>
                <w:iCs w:val="1"/>
                <w:color w:val="auto"/>
                <w:w w:val="97"/>
              </w:rPr>
              <w:t>Vice President and Secretary</w:t>
            </w:r>
          </w:p>
        </w:tc>
      </w:tr>
    </w:tbl>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WILMINGTON TRUST, NATIONAL ASSOCIATION</w:t>
      </w:r>
      <w:r>
        <w:rPr>
          <w:rFonts w:ascii="Times New Roman" w:cs="Times New Roman" w:eastAsia="Times New Roman" w:hAnsi="Times New Roman"/>
          <w:sz w:val="19"/>
          <w:szCs w:val="19"/>
          <w:color w:val="auto"/>
        </w:rPr>
        <w:t>,</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as Trustee</w:t>
      </w:r>
    </w:p>
    <w:p>
      <w:pPr>
        <w:spacing w:after="0" w:line="354" w:lineRule="exact"/>
        <w:rPr>
          <w:sz w:val="20"/>
          <w:szCs w:val="20"/>
          <w:color w:val="auto"/>
        </w:rPr>
      </w:pPr>
    </w:p>
    <w:p>
      <w:pPr>
        <w:ind w:left="20"/>
        <w:spacing w:after="0"/>
        <w:tabs>
          <w:tab w:leader="none" w:pos="560" w:val="left"/>
        </w:tabs>
        <w:rPr>
          <w:sz w:val="20"/>
          <w:szCs w:val="20"/>
          <w:color w:val="auto"/>
        </w:rPr>
      </w:pPr>
      <w:r>
        <w:rPr>
          <w:rFonts w:ascii="Arial" w:cs="Arial" w:eastAsia="Arial" w:hAnsi="Arial"/>
          <w:sz w:val="31"/>
          <w:szCs w:val="31"/>
          <w:color w:val="auto"/>
          <w:vertAlign w:val="superscript"/>
        </w:rPr>
        <w:t>By:</w:t>
      </w:r>
      <w:r>
        <w:rPr>
          <w:sz w:val="20"/>
          <w:szCs w:val="20"/>
          <w:color w:val="auto"/>
        </w:rPr>
        <w:tab/>
      </w:r>
      <w:r>
        <w:rPr>
          <w:rFonts w:ascii="Times New Roman" w:cs="Times New Roman" w:eastAsia="Times New Roman" w:hAnsi="Times New Roman"/>
          <w:sz w:val="19"/>
          <w:szCs w:val="19"/>
          <w:u w:val="single" w:color="auto"/>
          <w:color w:val="auto"/>
        </w:rPr>
        <w:t>/s/ Iris Munoz</w:t>
      </w:r>
    </w:p>
    <w:p>
      <w:pPr>
        <w:spacing w:after="0" w:line="15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9"/>
          <w:szCs w:val="19"/>
          <w:color w:val="auto"/>
        </w:rPr>
        <w:t>Iris Munoz</w:t>
      </w:r>
    </w:p>
    <w:p>
      <w:pPr>
        <w:spacing w:after="0" w:line="13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9"/>
          <w:szCs w:val="19"/>
          <w:i w:val="1"/>
          <w:iCs w:val="1"/>
          <w:color w:val="auto"/>
        </w:rPr>
        <w:t>Assistant Vice President</w:t>
      </w:r>
    </w:p>
    <w:p>
      <w:pPr>
        <w:sectPr>
          <w:pgSz w:w="11900" w:h="16838" w:orient="portrait"/>
          <w:cols w:equalWidth="0" w:num="1">
            <w:col w:w="10600"/>
          </w:cols>
          <w:pgMar w:left="940" w:top="1356" w:right="359" w:bottom="1440" w:gutter="0" w:footer="0" w:header="0"/>
        </w:sectPr>
      </w:pPr>
    </w:p>
    <w:bookmarkStart w:id="86" w:name="page87"/>
    <w:bookmarkEnd w:id="86"/>
    <w:p>
      <w:pPr>
        <w:jc w:val="right"/>
        <w:spacing w:after="0"/>
        <w:rPr>
          <w:sz w:val="20"/>
          <w:szCs w:val="20"/>
          <w:color w:val="auto"/>
        </w:rPr>
      </w:pPr>
      <w:r>
        <w:rPr>
          <w:rFonts w:ascii="Times New Roman" w:cs="Times New Roman" w:eastAsia="Times New Roman" w:hAnsi="Times New Roman"/>
          <w:sz w:val="15"/>
          <w:szCs w:val="15"/>
          <w:b w:val="1"/>
          <w:bCs w:val="1"/>
          <w:color w:val="auto"/>
        </w:rPr>
        <w:t>Exhibit 4.4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SECOND SUPPLEMENTAL INDENTURE</w:t>
      </w:r>
    </w:p>
    <w:p>
      <w:pPr>
        <w:spacing w:after="0" w:line="214"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21"/>
          <w:szCs w:val="21"/>
          <w:color w:val="auto"/>
        </w:rPr>
        <w:t>SECOND SUPPLEMENTAL INDENTURE (this “</w:t>
      </w:r>
      <w:r>
        <w:rPr>
          <w:rFonts w:ascii="Times New Roman" w:cs="Times New Roman" w:eastAsia="Times New Roman" w:hAnsi="Times New Roman"/>
          <w:sz w:val="21"/>
          <w:szCs w:val="21"/>
          <w:u w:val="single" w:color="auto"/>
          <w:color w:val="auto"/>
        </w:rPr>
        <w:t>Supplemental Indenture</w:t>
      </w:r>
      <w:r>
        <w:rPr>
          <w:rFonts w:ascii="Times New Roman" w:cs="Times New Roman" w:eastAsia="Times New Roman" w:hAnsi="Times New Roman"/>
          <w:sz w:val="21"/>
          <w:szCs w:val="21"/>
          <w:color w:val="auto"/>
        </w:rPr>
        <w:t>”) dated as of April 24, 2025, by and among San Jose ASC Holdings, LLC, a Delaware limited liability company (the “</w:t>
      </w:r>
      <w:r>
        <w:rPr>
          <w:rFonts w:ascii="Times New Roman" w:cs="Times New Roman" w:eastAsia="Times New Roman" w:hAnsi="Times New Roman"/>
          <w:sz w:val="21"/>
          <w:szCs w:val="21"/>
          <w:u w:val="single" w:color="auto"/>
          <w:color w:val="auto"/>
        </w:rPr>
        <w:t>Guaranteeing Subsidiary</w:t>
      </w:r>
      <w:r>
        <w:rPr>
          <w:rFonts w:ascii="Times New Roman" w:cs="Times New Roman" w:eastAsia="Times New Roman" w:hAnsi="Times New Roman"/>
          <w:sz w:val="21"/>
          <w:szCs w:val="21"/>
          <w:color w:val="auto"/>
        </w:rPr>
        <w:t>”), Surgery Center Holdings, Inc., a Delaware corporation (the “</w:t>
      </w:r>
      <w:r>
        <w:rPr>
          <w:rFonts w:ascii="Times New Roman" w:cs="Times New Roman" w:eastAsia="Times New Roman" w:hAnsi="Times New Roman"/>
          <w:sz w:val="21"/>
          <w:szCs w:val="21"/>
          <w:u w:val="single" w:color="auto"/>
          <w:color w:val="auto"/>
        </w:rPr>
        <w:t>Issuer</w:t>
      </w:r>
      <w:r>
        <w:rPr>
          <w:rFonts w:ascii="Times New Roman" w:cs="Times New Roman" w:eastAsia="Times New Roman" w:hAnsi="Times New Roman"/>
          <w:sz w:val="21"/>
          <w:szCs w:val="21"/>
          <w:color w:val="auto"/>
        </w:rPr>
        <w:t>”), and Wilmington Trust, National Association, as trustee under the Indenture referred to below (the “</w:t>
      </w:r>
      <w:r>
        <w:rPr>
          <w:rFonts w:ascii="Times New Roman" w:cs="Times New Roman" w:eastAsia="Times New Roman" w:hAnsi="Times New Roman"/>
          <w:sz w:val="21"/>
          <w:szCs w:val="21"/>
          <w:u w:val="single" w:color="auto"/>
          <w:color w:val="auto"/>
        </w:rPr>
        <w:t>Trustee</w:t>
      </w:r>
      <w:r>
        <w:rPr>
          <w:rFonts w:ascii="Times New Roman" w:cs="Times New Roman" w:eastAsia="Times New Roman" w:hAnsi="Times New Roman"/>
          <w:sz w:val="21"/>
          <w:szCs w:val="21"/>
          <w:color w:val="auto"/>
        </w:rPr>
        <w:t>”).</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u w:val="single" w:color="auto"/>
          <w:color w:val="auto"/>
        </w:rPr>
        <w:t>W I T N E S S E T H</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21"/>
          <w:szCs w:val="21"/>
          <w:color w:val="auto"/>
        </w:rPr>
        <w:t>WHEREAS, each of the Issuer and the Trustee have heretofore executed and delivered an indenture dated as of April 10, 2024 (as amended, supplemented, waived or otherwise modified from time to time, the “</w:t>
      </w:r>
      <w:r>
        <w:rPr>
          <w:rFonts w:ascii="Times New Roman" w:cs="Times New Roman" w:eastAsia="Times New Roman" w:hAnsi="Times New Roman"/>
          <w:sz w:val="21"/>
          <w:szCs w:val="21"/>
          <w:u w:val="single" w:color="auto"/>
          <w:color w:val="auto"/>
        </w:rPr>
        <w:t>Indenture</w:t>
      </w:r>
      <w:r>
        <w:rPr>
          <w:rFonts w:ascii="Times New Roman" w:cs="Times New Roman" w:eastAsia="Times New Roman" w:hAnsi="Times New Roman"/>
          <w:sz w:val="21"/>
          <w:szCs w:val="21"/>
          <w:color w:val="auto"/>
        </w:rPr>
        <w:t>”), providing for the issuance of an aggregate principal amount of $800,000,000 of 7.250% Senior Notes due 2032 (the “</w:t>
      </w:r>
      <w:r>
        <w:rPr>
          <w:rFonts w:ascii="Times New Roman" w:cs="Times New Roman" w:eastAsia="Times New Roman" w:hAnsi="Times New Roman"/>
          <w:sz w:val="21"/>
          <w:szCs w:val="21"/>
          <w:u w:val="single" w:color="auto"/>
          <w:color w:val="auto"/>
        </w:rPr>
        <w:t>Notes</w:t>
      </w:r>
      <w:r>
        <w:rPr>
          <w:rFonts w:ascii="Times New Roman" w:cs="Times New Roman" w:eastAsia="Times New Roman" w:hAnsi="Times New Roman"/>
          <w:sz w:val="21"/>
          <w:szCs w:val="21"/>
          <w:color w:val="auto"/>
        </w:rPr>
        <w:t>”) of the Issuer;</w:t>
      </w:r>
    </w:p>
    <w:p>
      <w:pPr>
        <w:spacing w:after="0" w:line="163" w:lineRule="exact"/>
        <w:rPr>
          <w:sz w:val="20"/>
          <w:szCs w:val="20"/>
          <w:color w:val="auto"/>
        </w:rPr>
      </w:pPr>
    </w:p>
    <w:p>
      <w:pPr>
        <w:jc w:val="both"/>
        <w:ind w:firstLine="619"/>
        <w:spacing w:after="0" w:line="252" w:lineRule="auto"/>
        <w:rPr>
          <w:sz w:val="20"/>
          <w:szCs w:val="20"/>
          <w:color w:val="auto"/>
        </w:rPr>
      </w:pPr>
      <w:r>
        <w:rPr>
          <w:rFonts w:ascii="Times New Roman" w:cs="Times New Roman" w:eastAsia="Times New Roman" w:hAnsi="Times New Roman"/>
          <w:sz w:val="21"/>
          <w:szCs w:val="21"/>
          <w:color w:val="auto"/>
        </w:rPr>
        <w:t>WHEREAS, the Indenture provides that under certain circumstances the Guaranteeing Subsidiary shall execute and deliver to the Trustee a supplemental indenture pursuant to which the Guaranteeing Subsidiary shall unconditionally guarantee all of Issuer’s Obligations under the Notes and the Indenture on the terms and conditions set forth herein and under the Indenture (the “</w:t>
      </w:r>
      <w:r>
        <w:rPr>
          <w:rFonts w:ascii="Times New Roman" w:cs="Times New Roman" w:eastAsia="Times New Roman" w:hAnsi="Times New Roman"/>
          <w:sz w:val="21"/>
          <w:szCs w:val="21"/>
          <w:u w:val="single" w:color="auto"/>
          <w:color w:val="auto"/>
        </w:rPr>
        <w:t>Note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Guarantee</w:t>
      </w:r>
      <w:r>
        <w:rPr>
          <w:rFonts w:ascii="Times New Roman" w:cs="Times New Roman" w:eastAsia="Times New Roman" w:hAnsi="Times New Roman"/>
          <w:sz w:val="21"/>
          <w:szCs w:val="21"/>
          <w:color w:val="auto"/>
        </w:rPr>
        <w:t>”); and</w:t>
      </w:r>
    </w:p>
    <w:p>
      <w:pPr>
        <w:spacing w:after="0" w:line="172" w:lineRule="exact"/>
        <w:rPr>
          <w:sz w:val="20"/>
          <w:szCs w:val="20"/>
          <w:color w:val="auto"/>
        </w:rPr>
      </w:pPr>
    </w:p>
    <w:p>
      <w:pPr>
        <w:jc w:val="both"/>
        <w:ind w:firstLine="619"/>
        <w:spacing w:after="0" w:line="282" w:lineRule="auto"/>
        <w:rPr>
          <w:sz w:val="20"/>
          <w:szCs w:val="20"/>
          <w:color w:val="auto"/>
        </w:rPr>
      </w:pPr>
      <w:r>
        <w:rPr>
          <w:rFonts w:ascii="Times New Roman" w:cs="Times New Roman" w:eastAsia="Times New Roman" w:hAnsi="Times New Roman"/>
          <w:sz w:val="21"/>
          <w:szCs w:val="21"/>
          <w:color w:val="auto"/>
        </w:rPr>
        <w:t xml:space="preserve">WHEREAS, pursuant to </w:t>
      </w:r>
      <w:r>
        <w:rPr>
          <w:rFonts w:ascii="Times New Roman" w:cs="Times New Roman" w:eastAsia="Times New Roman" w:hAnsi="Times New Roman"/>
          <w:sz w:val="21"/>
          <w:szCs w:val="21"/>
          <w:u w:val="single" w:color="auto"/>
          <w:color w:val="auto"/>
        </w:rPr>
        <w:t>Section 9.1</w:t>
      </w:r>
      <w:r>
        <w:rPr>
          <w:rFonts w:ascii="Times New Roman" w:cs="Times New Roman" w:eastAsia="Times New Roman" w:hAnsi="Times New Roman"/>
          <w:sz w:val="21"/>
          <w:szCs w:val="21"/>
          <w:color w:val="auto"/>
        </w:rPr>
        <w:t xml:space="preserve"> of the Indenture, the Issuer, any Guarantor and the Trustee are authorized to execute and deliver this Supplemental Indenture to amend or supplement the Indenture, without the consent of any Holder;</w:t>
      </w:r>
    </w:p>
    <w:p>
      <w:pPr>
        <w:spacing w:after="0" w:line="142"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21"/>
          <w:szCs w:val="21"/>
          <w:color w:val="auto"/>
        </w:rPr>
        <w:t>NOW, THEREFORE, in consideration of the foregoing and for other good and valuable consideration, the receipt of which is hereby acknowledged, the Issuer, the Guaranteeing Subsidiary and the Trustee mutually covenant and agree for the benefit of the Trustee and the Holders of the Notes as follows:</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ARTICLE I</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DEFINITIONS</w:t>
      </w:r>
    </w:p>
    <w:p>
      <w:pPr>
        <w:spacing w:after="0" w:line="210"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21"/>
          <w:szCs w:val="21"/>
          <w:color w:val="auto"/>
        </w:rPr>
        <w:t xml:space="preserve">SECTION 1.1. </w:t>
      </w:r>
      <w:r>
        <w:rPr>
          <w:rFonts w:ascii="Times New Roman" w:cs="Times New Roman" w:eastAsia="Times New Roman" w:hAnsi="Times New Roman"/>
          <w:sz w:val="21"/>
          <w:szCs w:val="21"/>
          <w:u w:val="single" w:color="auto"/>
          <w:color w:val="auto"/>
        </w:rPr>
        <w:t>Defined Terms</w:t>
      </w:r>
      <w:r>
        <w:rPr>
          <w:rFonts w:ascii="Times New Roman" w:cs="Times New Roman" w:eastAsia="Times New Roman" w:hAnsi="Times New Roman"/>
          <w:sz w:val="21"/>
          <w:szCs w:val="21"/>
          <w:color w:val="auto"/>
        </w:rPr>
        <w:t>. As used in this Supplemental Indenture, terms defined in the Indenture or in the preamble or recitals hereto are used herein as therein defined. The words “herein,” “hereof” and “hereby” and other words of similar import used in this Supplemental Indenture refer to this Supplemental Indenture as a whole and not to any particular section hereof.</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ARTICLE II</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AGREEMENT TO BE BOUND; GUARANTEE</w:t>
      </w:r>
    </w:p>
    <w:p>
      <w:pPr>
        <w:spacing w:after="0" w:line="210"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21"/>
          <w:szCs w:val="21"/>
          <w:color w:val="auto"/>
        </w:rPr>
        <w:t xml:space="preserve">SECTION 2.1. </w:t>
      </w:r>
      <w:r>
        <w:rPr>
          <w:rFonts w:ascii="Times New Roman" w:cs="Times New Roman" w:eastAsia="Times New Roman" w:hAnsi="Times New Roman"/>
          <w:sz w:val="21"/>
          <w:szCs w:val="21"/>
          <w:u w:val="single" w:color="auto"/>
          <w:color w:val="auto"/>
        </w:rPr>
        <w:t>Agreement to be Bound</w:t>
      </w:r>
      <w:r>
        <w:rPr>
          <w:rFonts w:ascii="Times New Roman" w:cs="Times New Roman" w:eastAsia="Times New Roman" w:hAnsi="Times New Roman"/>
          <w:sz w:val="21"/>
          <w:szCs w:val="21"/>
          <w:color w:val="auto"/>
        </w:rPr>
        <w:t>. The Guaranteeing Subsidiary hereby becomes a party to the Indenture as a Guarantor and as such will have all of the rights and be subject to all of the obligations and agreements of a Guarantor under the Indenture.</w:t>
      </w:r>
    </w:p>
    <w:p>
      <w:pPr>
        <w:sectPr>
          <w:pgSz w:w="11900" w:h="16838" w:orient="portrait"/>
          <w:cols w:equalWidth="0" w:num="1">
            <w:col w:w="11240"/>
          </w:cols>
          <w:pgMar w:left="320" w:top="123" w:right="339" w:bottom="1440" w:gutter="0" w:footer="0" w:header="0"/>
        </w:sectPr>
      </w:pPr>
    </w:p>
    <w:bookmarkStart w:id="87" w:name="page88"/>
    <w:bookmarkEnd w:id="87"/>
    <w:p>
      <w:pPr>
        <w:jc w:val="both"/>
        <w:ind w:firstLine="619"/>
        <w:spacing w:after="0" w:line="256" w:lineRule="auto"/>
        <w:rPr>
          <w:sz w:val="20"/>
          <w:szCs w:val="20"/>
          <w:color w:val="auto"/>
        </w:rPr>
      </w:pPr>
      <w:r>
        <w:rPr>
          <w:rFonts w:ascii="Times New Roman" w:cs="Times New Roman" w:eastAsia="Times New Roman" w:hAnsi="Times New Roman"/>
          <w:sz w:val="21"/>
          <w:szCs w:val="21"/>
          <w:color w:val="auto"/>
        </w:rPr>
        <w:t xml:space="preserve">SECTION 2.2. </w:t>
      </w:r>
      <w:r>
        <w:rPr>
          <w:rFonts w:ascii="Times New Roman" w:cs="Times New Roman" w:eastAsia="Times New Roman" w:hAnsi="Times New Roman"/>
          <w:sz w:val="21"/>
          <w:szCs w:val="21"/>
          <w:u w:val="single" w:color="auto"/>
          <w:color w:val="auto"/>
        </w:rPr>
        <w:t>Guarantee</w:t>
      </w:r>
      <w:r>
        <w:rPr>
          <w:rFonts w:ascii="Times New Roman" w:cs="Times New Roman" w:eastAsia="Times New Roman" w:hAnsi="Times New Roman"/>
          <w:sz w:val="21"/>
          <w:szCs w:val="21"/>
          <w:color w:val="auto"/>
        </w:rPr>
        <w:t xml:space="preserve">. The Guaranteeing Subsidiary agrees, on a joint and several basis with all the existing Guarantors, to fully, unconditionally and irrevocably Guarantee to each Holder of the Notes and the Trustee the Guaranteed Obligations pursuant to </w:t>
      </w:r>
      <w:r>
        <w:rPr>
          <w:rFonts w:ascii="Times New Roman" w:cs="Times New Roman" w:eastAsia="Times New Roman" w:hAnsi="Times New Roman"/>
          <w:sz w:val="21"/>
          <w:szCs w:val="21"/>
          <w:u w:val="single" w:color="auto"/>
          <w:color w:val="auto"/>
        </w:rPr>
        <w:t>Article X</w:t>
      </w:r>
      <w:r>
        <w:rPr>
          <w:rFonts w:ascii="Times New Roman" w:cs="Times New Roman" w:eastAsia="Times New Roman" w:hAnsi="Times New Roman"/>
          <w:sz w:val="21"/>
          <w:szCs w:val="21"/>
          <w:color w:val="auto"/>
        </w:rPr>
        <w:t xml:space="preserve"> of the Indenture on a senior basis.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ARTICLE III</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MISCELLANEOUS</w:t>
      </w:r>
    </w:p>
    <w:p>
      <w:pPr>
        <w:spacing w:after="0" w:line="21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1"/>
          <w:szCs w:val="21"/>
          <w:color w:val="auto"/>
        </w:rPr>
        <w:t xml:space="preserve">SECTION 3.1. </w:t>
      </w:r>
      <w:r>
        <w:rPr>
          <w:rFonts w:ascii="Times New Roman" w:cs="Times New Roman" w:eastAsia="Times New Roman" w:hAnsi="Times New Roman"/>
          <w:sz w:val="21"/>
          <w:szCs w:val="21"/>
          <w:u w:val="single" w:color="auto"/>
          <w:color w:val="auto"/>
        </w:rPr>
        <w:t>Notices</w:t>
      </w:r>
      <w:r>
        <w:rPr>
          <w:rFonts w:ascii="Times New Roman" w:cs="Times New Roman" w:eastAsia="Times New Roman" w:hAnsi="Times New Roman"/>
          <w:sz w:val="21"/>
          <w:szCs w:val="21"/>
          <w:color w:val="auto"/>
        </w:rPr>
        <w:t>. All notices and other communications to the Guarantors shall be given as provided in the Indenture.</w:t>
      </w:r>
    </w:p>
    <w:p>
      <w:pPr>
        <w:spacing w:after="0" w:line="210" w:lineRule="exact"/>
        <w:rPr>
          <w:sz w:val="20"/>
          <w:szCs w:val="20"/>
          <w:color w:val="auto"/>
        </w:rPr>
      </w:pPr>
    </w:p>
    <w:p>
      <w:pPr>
        <w:jc w:val="both"/>
        <w:ind w:firstLine="619"/>
        <w:spacing w:after="0" w:line="282" w:lineRule="auto"/>
        <w:rPr>
          <w:sz w:val="20"/>
          <w:szCs w:val="20"/>
          <w:color w:val="auto"/>
        </w:rPr>
      </w:pPr>
      <w:r>
        <w:rPr>
          <w:rFonts w:ascii="Times New Roman" w:cs="Times New Roman" w:eastAsia="Times New Roman" w:hAnsi="Times New Roman"/>
          <w:sz w:val="20"/>
          <w:szCs w:val="20"/>
          <w:color w:val="auto"/>
        </w:rPr>
        <w:t xml:space="preserve">SECTION 3.2. </w:t>
      </w:r>
      <w:r>
        <w:rPr>
          <w:rFonts w:ascii="Times New Roman" w:cs="Times New Roman" w:eastAsia="Times New Roman" w:hAnsi="Times New Roman"/>
          <w:sz w:val="20"/>
          <w:szCs w:val="20"/>
          <w:u w:val="single" w:color="auto"/>
          <w:color w:val="auto"/>
        </w:rPr>
        <w:t>Merger and Consolidation</w:t>
      </w:r>
      <w:r>
        <w:rPr>
          <w:rFonts w:ascii="Times New Roman" w:cs="Times New Roman" w:eastAsia="Times New Roman" w:hAnsi="Times New Roman"/>
          <w:sz w:val="20"/>
          <w:szCs w:val="20"/>
          <w:color w:val="auto"/>
        </w:rPr>
        <w:t xml:space="preserve">. The Guaranteeing Subsidiary shall not sell or otherwise dispose of all or substantially all of its assets to, or consolidate with or merge with or into, another Person (other than the Issuer or any Restricted Subsidiary that is a Guarantor or becomes a Guarantor concurrently with the transaction) except in accordance with </w:t>
      </w:r>
      <w:r>
        <w:rPr>
          <w:rFonts w:ascii="Times New Roman" w:cs="Times New Roman" w:eastAsia="Times New Roman" w:hAnsi="Times New Roman"/>
          <w:sz w:val="20"/>
          <w:szCs w:val="20"/>
          <w:u w:val="single" w:color="auto"/>
          <w:color w:val="auto"/>
        </w:rPr>
        <w:t>Section 4.1(f)</w:t>
      </w:r>
      <w:r>
        <w:rPr>
          <w:rFonts w:ascii="Times New Roman" w:cs="Times New Roman" w:eastAsia="Times New Roman" w:hAnsi="Times New Roman"/>
          <w:sz w:val="20"/>
          <w:szCs w:val="20"/>
          <w:color w:val="auto"/>
        </w:rPr>
        <w:t xml:space="preserve"> of the Indenture.</w:t>
      </w:r>
    </w:p>
    <w:p>
      <w:pPr>
        <w:spacing w:after="0" w:line="143"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21"/>
          <w:szCs w:val="21"/>
          <w:color w:val="auto"/>
        </w:rPr>
        <w:t xml:space="preserve">SECTION 3.3. </w:t>
      </w:r>
      <w:r>
        <w:rPr>
          <w:rFonts w:ascii="Times New Roman" w:cs="Times New Roman" w:eastAsia="Times New Roman" w:hAnsi="Times New Roman"/>
          <w:sz w:val="21"/>
          <w:szCs w:val="21"/>
          <w:u w:val="single" w:color="auto"/>
          <w:color w:val="auto"/>
        </w:rPr>
        <w:t>Release of Guarantee</w:t>
      </w:r>
      <w:r>
        <w:rPr>
          <w:rFonts w:ascii="Times New Roman" w:cs="Times New Roman" w:eastAsia="Times New Roman" w:hAnsi="Times New Roman"/>
          <w:sz w:val="21"/>
          <w:szCs w:val="21"/>
          <w:color w:val="auto"/>
        </w:rPr>
        <w:t xml:space="preserve">. The Note Guarantees hereunder may be released in accordance with </w:t>
      </w:r>
      <w:r>
        <w:rPr>
          <w:rFonts w:ascii="Times New Roman" w:cs="Times New Roman" w:eastAsia="Times New Roman" w:hAnsi="Times New Roman"/>
          <w:sz w:val="21"/>
          <w:szCs w:val="21"/>
          <w:u w:val="single" w:color="auto"/>
          <w:color w:val="auto"/>
        </w:rPr>
        <w:t>Section 10.2</w:t>
      </w:r>
      <w:r>
        <w:rPr>
          <w:rFonts w:ascii="Times New Roman" w:cs="Times New Roman" w:eastAsia="Times New Roman" w:hAnsi="Times New Roman"/>
          <w:sz w:val="21"/>
          <w:szCs w:val="21"/>
          <w:color w:val="auto"/>
        </w:rPr>
        <w:t xml:space="preserve"> of the Indenture.</w:t>
      </w:r>
    </w:p>
    <w:p>
      <w:pPr>
        <w:spacing w:after="0" w:line="155"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21"/>
          <w:szCs w:val="21"/>
          <w:color w:val="auto"/>
        </w:rPr>
        <w:t xml:space="preserve">SECTION 3.4. </w:t>
      </w:r>
      <w:r>
        <w:rPr>
          <w:rFonts w:ascii="Times New Roman" w:cs="Times New Roman" w:eastAsia="Times New Roman" w:hAnsi="Times New Roman"/>
          <w:sz w:val="21"/>
          <w:szCs w:val="21"/>
          <w:u w:val="single" w:color="auto"/>
          <w:color w:val="auto"/>
        </w:rPr>
        <w:t>Parties</w:t>
      </w:r>
      <w:r>
        <w:rPr>
          <w:rFonts w:ascii="Times New Roman" w:cs="Times New Roman" w:eastAsia="Times New Roman" w:hAnsi="Times New Roman"/>
          <w:sz w:val="21"/>
          <w:szCs w:val="21"/>
          <w:color w:val="auto"/>
        </w:rPr>
        <w:t>. Nothing expressed or mentioned herein is intended or shall be construed to give any Person, firm or corporation, other than the Holders and the Trustee, any legal or equitable right, remedy or claim under or in respect of this Supplemental Indenture or the Indenture or any provision herein or therein contained.</w:t>
      </w:r>
    </w:p>
    <w:p>
      <w:pPr>
        <w:spacing w:after="0" w:line="181"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21"/>
          <w:szCs w:val="21"/>
          <w:color w:val="auto"/>
        </w:rPr>
        <w:t xml:space="preserve">SECTION 3.5. </w:t>
      </w:r>
      <w:r>
        <w:rPr>
          <w:rFonts w:ascii="Times New Roman" w:cs="Times New Roman" w:eastAsia="Times New Roman" w:hAnsi="Times New Roman"/>
          <w:sz w:val="21"/>
          <w:szCs w:val="21"/>
          <w:u w:val="single" w:color="auto"/>
          <w:color w:val="auto"/>
        </w:rPr>
        <w:t>Governing Law</w:t>
      </w:r>
      <w:r>
        <w:rPr>
          <w:rFonts w:ascii="Times New Roman" w:cs="Times New Roman" w:eastAsia="Times New Roman" w:hAnsi="Times New Roman"/>
          <w:sz w:val="21"/>
          <w:szCs w:val="21"/>
          <w:color w:val="auto"/>
        </w:rPr>
        <w:t>. This Supplemental Indenture shall be governed by, and construed in accordance with, the laws of the State of New York.</w:t>
      </w:r>
    </w:p>
    <w:p>
      <w:pPr>
        <w:spacing w:after="0" w:line="155"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21"/>
          <w:szCs w:val="21"/>
          <w:color w:val="auto"/>
        </w:rPr>
        <w:t xml:space="preserve">SECTION 3.6. </w:t>
      </w:r>
      <w:r>
        <w:rPr>
          <w:rFonts w:ascii="Times New Roman" w:cs="Times New Roman" w:eastAsia="Times New Roman" w:hAnsi="Times New Roman"/>
          <w:sz w:val="21"/>
          <w:szCs w:val="21"/>
          <w:u w:val="single" w:color="auto"/>
          <w:color w:val="auto"/>
        </w:rPr>
        <w:t>Severability</w:t>
      </w:r>
      <w:r>
        <w:rPr>
          <w:rFonts w:ascii="Times New Roman" w:cs="Times New Roman" w:eastAsia="Times New Roman" w:hAnsi="Times New Roman"/>
          <w:sz w:val="21"/>
          <w:szCs w:val="21"/>
          <w:color w:val="auto"/>
        </w:rPr>
        <w:t>. In case any provision in this Supplemental Indenture shall be invalid, illegal or unenforceable, the validity, legality and enforceability of the remaining provisions shall not in any way be affected or impaired thereby and such provision shall be ineffective only to the extent of such invalidity, illegality or unenforceability.</w:t>
      </w:r>
    </w:p>
    <w:p>
      <w:pPr>
        <w:spacing w:after="0" w:line="181" w:lineRule="exact"/>
        <w:rPr>
          <w:sz w:val="20"/>
          <w:szCs w:val="20"/>
          <w:color w:val="auto"/>
        </w:rPr>
      </w:pPr>
    </w:p>
    <w:p>
      <w:pPr>
        <w:jc w:val="both"/>
        <w:ind w:firstLine="619"/>
        <w:spacing w:after="0" w:line="252" w:lineRule="auto"/>
        <w:rPr>
          <w:sz w:val="20"/>
          <w:szCs w:val="20"/>
          <w:color w:val="auto"/>
        </w:rPr>
      </w:pPr>
      <w:r>
        <w:rPr>
          <w:rFonts w:ascii="Times New Roman" w:cs="Times New Roman" w:eastAsia="Times New Roman" w:hAnsi="Times New Roman"/>
          <w:sz w:val="21"/>
          <w:szCs w:val="21"/>
          <w:color w:val="auto"/>
        </w:rPr>
        <w:t xml:space="preserve">SECTION 3.7. </w:t>
      </w:r>
      <w:r>
        <w:rPr>
          <w:rFonts w:ascii="Times New Roman" w:cs="Times New Roman" w:eastAsia="Times New Roman" w:hAnsi="Times New Roman"/>
          <w:sz w:val="21"/>
          <w:szCs w:val="21"/>
          <w:u w:val="single" w:color="auto"/>
          <w:color w:val="auto"/>
        </w:rPr>
        <w:t>Benefits Acknowledged</w:t>
      </w:r>
      <w:r>
        <w:rPr>
          <w:rFonts w:ascii="Times New Roman" w:cs="Times New Roman" w:eastAsia="Times New Roman" w:hAnsi="Times New Roman"/>
          <w:sz w:val="21"/>
          <w:szCs w:val="21"/>
          <w:color w:val="auto"/>
        </w:rPr>
        <w:t>. The Guaranteeing Subsidiary’s Note Guarantee is subject to the terms and conditions set forth in the Indenture. The Guaranteeing Subsidiary acknowledges that it will receive direct and indirect benefits from the financing arrangements contemplated by the Indenture and this Supplemental Indenture and that the guarantee and waivers made by it pursuant to its Note Guarantee are knowingly made in contemplation of such benefits.</w:t>
      </w:r>
    </w:p>
    <w:p>
      <w:pPr>
        <w:spacing w:after="0" w:line="172"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21"/>
          <w:szCs w:val="21"/>
          <w:color w:val="auto"/>
        </w:rPr>
        <w:t xml:space="preserve">SECTION 3.8. </w:t>
      </w:r>
      <w:r>
        <w:rPr>
          <w:rFonts w:ascii="Times New Roman" w:cs="Times New Roman" w:eastAsia="Times New Roman" w:hAnsi="Times New Roman"/>
          <w:sz w:val="21"/>
          <w:szCs w:val="21"/>
          <w:u w:val="single" w:color="auto"/>
          <w:color w:val="auto"/>
        </w:rPr>
        <w:t>Ratification of Indenture; Supplemental Indentures Part of Indenture</w:t>
      </w:r>
      <w:r>
        <w:rPr>
          <w:rFonts w:ascii="Times New Roman" w:cs="Times New Roman" w:eastAsia="Times New Roman" w:hAnsi="Times New Roman"/>
          <w:sz w:val="21"/>
          <w:szCs w:val="21"/>
          <w:color w:val="auto"/>
        </w:rPr>
        <w:t>. Except as expressly amended hereby, the Indenture is in all respects ratified and confirmed and all the terms, conditions and provisions thereof shall remain in full force and effect. This Supplemental Indenture shall form a part of the Indenture for all purposes, and every Holder of Notes heretofore or hereafter authenticated and delivered shall be bound hereby.</w:t>
      </w:r>
    </w:p>
    <w:p>
      <w:pPr>
        <w:sectPr>
          <w:pgSz w:w="11900" w:h="16838" w:orient="portrait"/>
          <w:cols w:equalWidth="0" w:num="1">
            <w:col w:w="11240"/>
          </w:cols>
          <w:pgMar w:left="320" w:top="1365" w:right="339" w:bottom="1440" w:gutter="0" w:footer="0" w:header="0"/>
        </w:sectPr>
      </w:pPr>
    </w:p>
    <w:bookmarkStart w:id="88" w:name="page89"/>
    <w:bookmarkEnd w:id="88"/>
    <w:p>
      <w:pPr>
        <w:jc w:val="both"/>
        <w:ind w:firstLine="619"/>
        <w:spacing w:after="0" w:line="295" w:lineRule="auto"/>
        <w:rPr>
          <w:sz w:val="20"/>
          <w:szCs w:val="20"/>
          <w:color w:val="auto"/>
        </w:rPr>
      </w:pPr>
      <w:r>
        <w:rPr>
          <w:rFonts w:ascii="Times New Roman" w:cs="Times New Roman" w:eastAsia="Times New Roman" w:hAnsi="Times New Roman"/>
          <w:sz w:val="20"/>
          <w:szCs w:val="20"/>
          <w:color w:val="auto"/>
        </w:rPr>
        <w:t xml:space="preserve">SECTION 3.9. </w:t>
      </w:r>
      <w:r>
        <w:rPr>
          <w:rFonts w:ascii="Times New Roman" w:cs="Times New Roman" w:eastAsia="Times New Roman" w:hAnsi="Times New Roman"/>
          <w:sz w:val="20"/>
          <w:szCs w:val="20"/>
          <w:u w:val="single" w:color="auto"/>
          <w:color w:val="auto"/>
        </w:rPr>
        <w:t>The Trustee</w:t>
      </w:r>
      <w:r>
        <w:rPr>
          <w:rFonts w:ascii="Times New Roman" w:cs="Times New Roman" w:eastAsia="Times New Roman" w:hAnsi="Times New Roman"/>
          <w:sz w:val="20"/>
          <w:szCs w:val="20"/>
          <w:color w:val="auto"/>
        </w:rPr>
        <w:t>. The Trustee makes no representation or warranty as to the validity or sufficiency of this Supplemental Indenture or with respect to the recitals contained herein, all of which recitals are made solely by the other parties hereto.</w:t>
      </w:r>
    </w:p>
    <w:p>
      <w:pPr>
        <w:spacing w:after="0" w:line="131" w:lineRule="exact"/>
        <w:rPr>
          <w:sz w:val="20"/>
          <w:szCs w:val="20"/>
          <w:color w:val="auto"/>
        </w:rPr>
      </w:pPr>
    </w:p>
    <w:p>
      <w:pPr>
        <w:jc w:val="both"/>
        <w:ind w:firstLine="619"/>
        <w:spacing w:after="0" w:line="268" w:lineRule="auto"/>
        <w:rPr>
          <w:sz w:val="20"/>
          <w:szCs w:val="20"/>
          <w:color w:val="auto"/>
        </w:rPr>
      </w:pPr>
      <w:r>
        <w:rPr>
          <w:rFonts w:ascii="Times New Roman" w:cs="Times New Roman" w:eastAsia="Times New Roman" w:hAnsi="Times New Roman"/>
          <w:sz w:val="20"/>
          <w:szCs w:val="20"/>
          <w:color w:val="auto"/>
        </w:rPr>
        <w:t xml:space="preserve">SECTION 3.10. </w:t>
      </w: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The parties hereto may sign any number of copies of this Supplemental Indenture. Each signed copy shall be an original, but all of them together represent the same agreement. The exchange of copies of this Supplemental Indenture and of signature pages by facsimile or electronic transmission shall constitute effective execution and delivery of this Supplemental Indenture as to the parties hereto and may be used in lieu of the original Supplemental Indenture for all purposes. Signatures of the parties hereto transmitted by facsimile or electronic transmission shall be deemed to be their original signatures for all purposes.</w:t>
      </w:r>
    </w:p>
    <w:p>
      <w:pPr>
        <w:spacing w:after="0" w:line="160" w:lineRule="exact"/>
        <w:rPr>
          <w:sz w:val="20"/>
          <w:szCs w:val="20"/>
          <w:color w:val="auto"/>
        </w:rPr>
      </w:pPr>
    </w:p>
    <w:p>
      <w:pPr>
        <w:jc w:val="both"/>
        <w:ind w:firstLine="619"/>
        <w:spacing w:after="0" w:line="282" w:lineRule="auto"/>
        <w:rPr>
          <w:sz w:val="20"/>
          <w:szCs w:val="20"/>
          <w:color w:val="auto"/>
        </w:rPr>
      </w:pPr>
      <w:r>
        <w:rPr>
          <w:rFonts w:ascii="Times New Roman" w:cs="Times New Roman" w:eastAsia="Times New Roman" w:hAnsi="Times New Roman"/>
          <w:sz w:val="21"/>
          <w:szCs w:val="21"/>
          <w:color w:val="auto"/>
        </w:rPr>
        <w:t xml:space="preserve">SECTION 3.11. </w:t>
      </w:r>
      <w:r>
        <w:rPr>
          <w:rFonts w:ascii="Times New Roman" w:cs="Times New Roman" w:eastAsia="Times New Roman" w:hAnsi="Times New Roman"/>
          <w:sz w:val="21"/>
          <w:szCs w:val="21"/>
          <w:u w:val="single" w:color="auto"/>
          <w:color w:val="auto"/>
        </w:rPr>
        <w:t>Execution and Delivery</w:t>
      </w:r>
      <w:r>
        <w:rPr>
          <w:rFonts w:ascii="Times New Roman" w:cs="Times New Roman" w:eastAsia="Times New Roman" w:hAnsi="Times New Roman"/>
          <w:sz w:val="21"/>
          <w:szCs w:val="21"/>
          <w:color w:val="auto"/>
        </w:rPr>
        <w:t>. The Guaranteeing Subsidiary agrees that its Note Guarantee shall remain in full force and effect notwithstanding any failure to endorse on each Note a notation of any such Note Guarantee.</w:t>
      </w:r>
    </w:p>
    <w:p>
      <w:pPr>
        <w:spacing w:after="0" w:line="142"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21"/>
          <w:szCs w:val="21"/>
          <w:color w:val="auto"/>
        </w:rPr>
        <w:t xml:space="preserve">SECTION 3.12. </w:t>
      </w:r>
      <w:r>
        <w:rPr>
          <w:rFonts w:ascii="Times New Roman" w:cs="Times New Roman" w:eastAsia="Times New Roman" w:hAnsi="Times New Roman"/>
          <w:sz w:val="21"/>
          <w:szCs w:val="21"/>
          <w:u w:val="single" w:color="auto"/>
          <w:color w:val="auto"/>
        </w:rPr>
        <w:t>Headings</w:t>
      </w:r>
      <w:r>
        <w:rPr>
          <w:rFonts w:ascii="Times New Roman" w:cs="Times New Roman" w:eastAsia="Times New Roman" w:hAnsi="Times New Roman"/>
          <w:sz w:val="21"/>
          <w:szCs w:val="21"/>
          <w:color w:val="auto"/>
        </w:rPr>
        <w:t>. The headings of the Articles and the Sections in this Supplemental Indenture are for convenience of reference only and shall not be deemed to alter or affect the meaning or interpretation of any provisions hereof.</w:t>
      </w:r>
    </w:p>
    <w:p>
      <w:pPr>
        <w:spacing w:after="0" w:line="155" w:lineRule="exact"/>
        <w:rPr>
          <w:sz w:val="20"/>
          <w:szCs w:val="20"/>
          <w:color w:val="auto"/>
        </w:rPr>
      </w:pPr>
    </w:p>
    <w:p>
      <w:pPr>
        <w:jc w:val="both"/>
        <w:ind w:firstLine="619"/>
        <w:spacing w:after="0" w:line="249" w:lineRule="auto"/>
        <w:rPr>
          <w:sz w:val="20"/>
          <w:szCs w:val="20"/>
          <w:color w:val="auto"/>
        </w:rPr>
      </w:pPr>
      <w:r>
        <w:rPr>
          <w:rFonts w:ascii="Times New Roman" w:cs="Times New Roman" w:eastAsia="Times New Roman" w:hAnsi="Times New Roman"/>
          <w:sz w:val="21"/>
          <w:szCs w:val="21"/>
          <w:color w:val="auto"/>
        </w:rPr>
        <w:t xml:space="preserve">SECTION 3.13. </w:t>
      </w:r>
      <w:r>
        <w:rPr>
          <w:rFonts w:ascii="Times New Roman" w:cs="Times New Roman" w:eastAsia="Times New Roman" w:hAnsi="Times New Roman"/>
          <w:sz w:val="21"/>
          <w:szCs w:val="21"/>
          <w:u w:val="single" w:color="auto"/>
          <w:color w:val="auto"/>
        </w:rPr>
        <w:t>Jurisdiction</w:t>
      </w:r>
      <w:r>
        <w:rPr>
          <w:rFonts w:ascii="Times New Roman" w:cs="Times New Roman" w:eastAsia="Times New Roman" w:hAnsi="Times New Roman"/>
          <w:sz w:val="21"/>
          <w:szCs w:val="21"/>
          <w:color w:val="auto"/>
        </w:rPr>
        <w:t>. The parties hereto agree that any suit, action or proceeding arising out of or based upon this Supplemental Indenture may be instituted in any state or Federal court in the Borough of Manhattan, New York, New York, and any appellate court from any thereof, and each party hereto irrevocably submits to the non-exclusive jurisdiction of such courts in any suit, action or proceeding. The parties hereto irrevocably waive, to the fullest extent permitted by law, any objection to any suit, action, or proceeding that may be brought in connection with this Supplemental Indenture, including such actions, suits or proceedings relating to securities laws of the United States or any state thereof, in such courts whether on the grounds of venue, residence or domicile or on the ground that any such suit, action or proceeding has been brought in an inconvenient forum. The parties hereto agree that final judgment in any such suit, action or proceeding brought in such court shall be conclusive and binding upon them, and may be enforced in any court to the jurisdiction of which they are subject by a suit upon such judgment.</w:t>
      </w:r>
    </w:p>
    <w:p>
      <w:pPr>
        <w:spacing w:after="0" w:line="182" w:lineRule="exact"/>
        <w:rPr>
          <w:sz w:val="20"/>
          <w:szCs w:val="20"/>
          <w:color w:val="auto"/>
        </w:rPr>
      </w:pPr>
    </w:p>
    <w:p>
      <w:pPr>
        <w:jc w:val="both"/>
        <w:ind w:firstLine="619"/>
        <w:spacing w:after="0" w:line="252" w:lineRule="auto"/>
        <w:rPr>
          <w:sz w:val="20"/>
          <w:szCs w:val="20"/>
          <w:color w:val="auto"/>
        </w:rPr>
      </w:pPr>
      <w:r>
        <w:rPr>
          <w:rFonts w:ascii="Times New Roman" w:cs="Times New Roman" w:eastAsia="Times New Roman" w:hAnsi="Times New Roman"/>
          <w:sz w:val="21"/>
          <w:szCs w:val="21"/>
          <w:color w:val="auto"/>
        </w:rPr>
        <w:t xml:space="preserve">SECTION 3.14. </w:t>
      </w:r>
      <w:r>
        <w:rPr>
          <w:rFonts w:ascii="Times New Roman" w:cs="Times New Roman" w:eastAsia="Times New Roman" w:hAnsi="Times New Roman"/>
          <w:sz w:val="21"/>
          <w:szCs w:val="21"/>
          <w:u w:val="single" w:color="auto"/>
          <w:color w:val="auto"/>
        </w:rPr>
        <w:t>Waiver of Jury Trial</w:t>
      </w:r>
      <w:r>
        <w:rPr>
          <w:rFonts w:ascii="Times New Roman" w:cs="Times New Roman" w:eastAsia="Times New Roman" w:hAnsi="Times New Roman"/>
          <w:sz w:val="21"/>
          <w:szCs w:val="21"/>
          <w:color w:val="auto"/>
        </w:rPr>
        <w:t>. THE PARTIES HERETO HEREBY IRREVOCABLY AND UNCONDITIONALLY WAIVE, TO THE FULLEST EXTENT PERMITTED BY APPLICABLE LAW, ANY AND ALL RIGHT TO TRIAL BY JURY IN ANY LEGAL ACTION OR PROCEEDING ARISING OUT OF OR RELATING TO THIS SUPPLEMENTAL INDENTURE AND FOR ANY COUNTERCLAIM THEREIN.</w:t>
      </w:r>
    </w:p>
    <w:p>
      <w:pPr>
        <w:sectPr>
          <w:pgSz w:w="11900" w:h="16838" w:orient="portrait"/>
          <w:cols w:equalWidth="0" w:num="1">
            <w:col w:w="11240"/>
          </w:cols>
          <w:pgMar w:left="320" w:top="1365" w:right="339" w:bottom="1440" w:gutter="0" w:footer="0" w:header="0"/>
        </w:sectPr>
      </w:pPr>
    </w:p>
    <w:bookmarkStart w:id="89" w:name="page90"/>
    <w:bookmarkEnd w:id="89"/>
    <w:p>
      <w:pPr>
        <w:ind w:firstLine="619"/>
        <w:spacing w:after="0" w:line="269" w:lineRule="auto"/>
        <w:rPr>
          <w:sz w:val="20"/>
          <w:szCs w:val="20"/>
          <w:color w:val="auto"/>
        </w:rPr>
      </w:pPr>
      <w:r>
        <w:rPr>
          <w:rFonts w:ascii="Times New Roman" w:cs="Times New Roman" w:eastAsia="Times New Roman" w:hAnsi="Times New Roman"/>
          <w:sz w:val="21"/>
          <w:szCs w:val="21"/>
          <w:color w:val="auto"/>
        </w:rPr>
        <w:t>IN WITNESS WHEREOF, the parties hereto have caused this Supplemental Indenture to be duly executed as of the date first above written.</w:t>
      </w:r>
    </w:p>
    <w:p>
      <w:pPr>
        <w:spacing w:after="0" w:line="35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b w:val="1"/>
          <w:bCs w:val="1"/>
          <w:color w:val="auto"/>
        </w:rPr>
        <w:t>SURGERY CENTER HOLDINGS, INC.</w:t>
      </w:r>
      <w:r>
        <w:rPr>
          <w:rFonts w:ascii="Times New Roman" w:cs="Times New Roman" w:eastAsia="Times New Roman" w:hAnsi="Times New Roman"/>
          <w:sz w:val="21"/>
          <w:szCs w:val="21"/>
          <w:color w:val="auto"/>
        </w:rPr>
        <w:t>, as Issuer</w:t>
      </w:r>
    </w:p>
    <w:p>
      <w:pPr>
        <w:spacing w:after="0" w:line="239" w:lineRule="exact"/>
        <w:rPr>
          <w:sz w:val="20"/>
          <w:szCs w:val="20"/>
          <w:color w:val="auto"/>
        </w:rPr>
      </w:pPr>
    </w:p>
    <w:p>
      <w:pPr>
        <w:ind w:left="640"/>
        <w:spacing w:after="0"/>
        <w:tabs>
          <w:tab w:leader="none" w:pos="122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1"/>
          <w:szCs w:val="21"/>
          <w:u w:val="single" w:color="auto"/>
          <w:color w:val="auto"/>
        </w:rPr>
        <w:t>/s/ David T. Doherty</w:t>
      </w:r>
    </w:p>
    <w:p>
      <w:pPr>
        <w:ind w:left="1240"/>
        <w:spacing w:after="0" w:line="205" w:lineRule="auto"/>
        <w:rPr>
          <w:sz w:val="20"/>
          <w:szCs w:val="20"/>
          <w:color w:val="auto"/>
        </w:rPr>
      </w:pPr>
      <w:r>
        <w:rPr>
          <w:rFonts w:ascii="Times New Roman" w:cs="Times New Roman" w:eastAsia="Times New Roman" w:hAnsi="Times New Roman"/>
          <w:sz w:val="21"/>
          <w:szCs w:val="21"/>
          <w:color w:val="auto"/>
        </w:rPr>
        <w:t>David T. Doherty</w:t>
      </w:r>
    </w:p>
    <w:p>
      <w:pPr>
        <w:ind w:left="1240"/>
        <w:spacing w:after="0"/>
        <w:rPr>
          <w:sz w:val="20"/>
          <w:szCs w:val="20"/>
          <w:color w:val="auto"/>
        </w:rPr>
      </w:pPr>
      <w:r>
        <w:rPr>
          <w:rFonts w:ascii="Times New Roman" w:cs="Times New Roman" w:eastAsia="Times New Roman" w:hAnsi="Times New Roman"/>
          <w:sz w:val="21"/>
          <w:szCs w:val="21"/>
          <w:i w:val="1"/>
          <w:iCs w:val="1"/>
          <w:color w:val="auto"/>
        </w:rPr>
        <w:t>Executive Vice President and Chief Financial Officer</w:t>
      </w:r>
    </w:p>
    <w:p>
      <w:pPr>
        <w:spacing w:after="0" w:line="27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b w:val="1"/>
          <w:bCs w:val="1"/>
          <w:color w:val="auto"/>
        </w:rPr>
        <w:t>SAN JOSE ASC HOLDINGS, LLC</w:t>
      </w:r>
      <w:r>
        <w:rPr>
          <w:rFonts w:ascii="Times New Roman" w:cs="Times New Roman" w:eastAsia="Times New Roman" w:hAnsi="Times New Roman"/>
          <w:sz w:val="21"/>
          <w:szCs w:val="21"/>
          <w:color w:val="auto"/>
        </w:rPr>
        <w:t>, as a Guarantor</w:t>
      </w:r>
    </w:p>
    <w:p>
      <w:pPr>
        <w:spacing w:after="0" w:line="21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By: Surgery Center Holdings, Inc., as its sole member</w:t>
      </w:r>
    </w:p>
    <w:p>
      <w:pPr>
        <w:spacing w:after="0" w:line="235" w:lineRule="exact"/>
        <w:rPr>
          <w:sz w:val="20"/>
          <w:szCs w:val="20"/>
          <w:color w:val="auto"/>
        </w:rPr>
      </w:pPr>
    </w:p>
    <w:p>
      <w:pPr>
        <w:ind w:left="640"/>
        <w:spacing w:after="0"/>
        <w:tabs>
          <w:tab w:leader="none" w:pos="122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1"/>
          <w:szCs w:val="21"/>
          <w:u w:val="single" w:color="auto"/>
          <w:color w:val="auto"/>
        </w:rPr>
        <w:t>/s/ David T. Doherty</w:t>
      </w:r>
    </w:p>
    <w:p>
      <w:pPr>
        <w:ind w:left="1240"/>
        <w:spacing w:after="0" w:line="205" w:lineRule="auto"/>
        <w:rPr>
          <w:sz w:val="20"/>
          <w:szCs w:val="20"/>
          <w:color w:val="auto"/>
        </w:rPr>
      </w:pPr>
      <w:r>
        <w:rPr>
          <w:rFonts w:ascii="Times New Roman" w:cs="Times New Roman" w:eastAsia="Times New Roman" w:hAnsi="Times New Roman"/>
          <w:sz w:val="21"/>
          <w:szCs w:val="21"/>
          <w:color w:val="auto"/>
        </w:rPr>
        <w:t>David T. Doherty</w:t>
      </w:r>
    </w:p>
    <w:p>
      <w:pPr>
        <w:ind w:left="1240"/>
        <w:spacing w:after="0"/>
        <w:rPr>
          <w:sz w:val="20"/>
          <w:szCs w:val="20"/>
          <w:color w:val="auto"/>
        </w:rPr>
      </w:pPr>
      <w:r>
        <w:rPr>
          <w:rFonts w:ascii="Times New Roman" w:cs="Times New Roman" w:eastAsia="Times New Roman" w:hAnsi="Times New Roman"/>
          <w:sz w:val="21"/>
          <w:szCs w:val="21"/>
          <w:i w:val="1"/>
          <w:iCs w:val="1"/>
          <w:color w:val="auto"/>
        </w:rPr>
        <w:t>Executive Vice President and Chief Financial Officer</w:t>
      </w:r>
    </w:p>
    <w:p>
      <w:pPr>
        <w:spacing w:after="0" w:line="27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b w:val="1"/>
          <w:bCs w:val="1"/>
          <w:color w:val="auto"/>
        </w:rPr>
        <w:t>WILMINGTON TRUST, NATIONAL ASSOCIATION</w:t>
      </w:r>
      <w:r>
        <w:rPr>
          <w:rFonts w:ascii="Times New Roman" w:cs="Times New Roman" w:eastAsia="Times New Roman" w:hAnsi="Times New Roman"/>
          <w:sz w:val="21"/>
          <w:szCs w:val="21"/>
          <w:color w:val="auto"/>
        </w:rPr>
        <w:t>,</w:t>
      </w:r>
    </w:p>
    <w:p>
      <w:pPr>
        <w:spacing w:after="0" w:line="2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as Trustee</w:t>
      </w:r>
    </w:p>
    <w:p>
      <w:pPr>
        <w:spacing w:after="0" w:line="200" w:lineRule="exact"/>
        <w:rPr>
          <w:sz w:val="20"/>
          <w:szCs w:val="20"/>
          <w:color w:val="auto"/>
        </w:rPr>
      </w:pPr>
    </w:p>
    <w:p>
      <w:pPr>
        <w:spacing w:after="0" w:line="219" w:lineRule="exact"/>
        <w:rPr>
          <w:sz w:val="20"/>
          <w:szCs w:val="20"/>
          <w:color w:val="auto"/>
        </w:rPr>
      </w:pPr>
    </w:p>
    <w:p>
      <w:pPr>
        <w:ind w:left="640"/>
        <w:spacing w:after="0"/>
        <w:tabs>
          <w:tab w:leader="none" w:pos="118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1"/>
          <w:szCs w:val="21"/>
          <w:u w:val="single" w:color="auto"/>
          <w:color w:val="auto"/>
        </w:rPr>
        <w:t>/s/ Iris Munoz</w:t>
      </w:r>
    </w:p>
    <w:p>
      <w:pPr>
        <w:ind w:left="1200"/>
        <w:spacing w:after="0" w:line="205" w:lineRule="auto"/>
        <w:rPr>
          <w:sz w:val="20"/>
          <w:szCs w:val="20"/>
          <w:color w:val="auto"/>
        </w:rPr>
      </w:pPr>
      <w:r>
        <w:rPr>
          <w:rFonts w:ascii="Times New Roman" w:cs="Times New Roman" w:eastAsia="Times New Roman" w:hAnsi="Times New Roman"/>
          <w:sz w:val="21"/>
          <w:szCs w:val="21"/>
          <w:color w:val="auto"/>
        </w:rPr>
        <w:t>Iris Munoz</w:t>
      </w:r>
    </w:p>
    <w:p>
      <w:pPr>
        <w:ind w:left="1200"/>
        <w:spacing w:after="0"/>
        <w:rPr>
          <w:sz w:val="20"/>
          <w:szCs w:val="20"/>
          <w:color w:val="auto"/>
        </w:rPr>
      </w:pPr>
      <w:r>
        <w:rPr>
          <w:rFonts w:ascii="Times New Roman" w:cs="Times New Roman" w:eastAsia="Times New Roman" w:hAnsi="Times New Roman"/>
          <w:sz w:val="21"/>
          <w:szCs w:val="21"/>
          <w:i w:val="1"/>
          <w:iCs w:val="1"/>
          <w:color w:val="auto"/>
        </w:rPr>
        <w:t>Assistant Vice President</w:t>
      </w:r>
    </w:p>
    <w:p>
      <w:pPr>
        <w:sectPr>
          <w:pgSz w:w="11900" w:h="16838" w:orient="portrait"/>
          <w:cols w:equalWidth="0" w:num="1">
            <w:col w:w="11240"/>
          </w:cols>
          <w:pgMar w:left="320" w:top="1365" w:right="339" w:bottom="1440" w:gutter="0" w:footer="0" w:header="0"/>
        </w:sectPr>
      </w:pPr>
    </w:p>
    <w:bookmarkStart w:id="90" w:name="page91"/>
    <w:bookmarkEnd w:id="90"/>
    <w:p>
      <w:pPr>
        <w:jc w:val="right"/>
        <w:spacing w:after="0"/>
        <w:rPr>
          <w:sz w:val="20"/>
          <w:szCs w:val="20"/>
          <w:color w:val="auto"/>
        </w:rPr>
      </w:pPr>
      <w:r>
        <w:rPr>
          <w:rFonts w:ascii="Times New Roman" w:cs="Times New Roman" w:eastAsia="Times New Roman" w:hAnsi="Times New Roman"/>
          <w:sz w:val="17"/>
          <w:szCs w:val="17"/>
          <w:b w:val="1"/>
          <w:bCs w:val="1"/>
          <w:color w:val="auto"/>
        </w:rPr>
        <w:t>Exhibit 21</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200" w:type="dxa"/>
            <w:vAlign w:val="bottom"/>
          </w:tcPr>
          <w:p>
            <w:pPr>
              <w:spacing w:after="0"/>
              <w:rPr>
                <w:sz w:val="17"/>
                <w:szCs w:val="17"/>
                <w:color w:val="auto"/>
              </w:rPr>
            </w:pPr>
          </w:p>
        </w:tc>
        <w:tc>
          <w:tcPr>
            <w:tcW w:w="2520" w:type="dxa"/>
            <w:vAlign w:val="bottom"/>
          </w:tcPr>
          <w:p>
            <w:pPr>
              <w:ind w:left="860"/>
              <w:spacing w:after="0"/>
              <w:rPr>
                <w:sz w:val="20"/>
                <w:szCs w:val="20"/>
                <w:color w:val="auto"/>
              </w:rPr>
            </w:pPr>
            <w:r>
              <w:rPr>
                <w:rFonts w:ascii="Times New Roman" w:cs="Times New Roman" w:eastAsia="Times New Roman" w:hAnsi="Times New Roman"/>
                <w:sz w:val="17"/>
                <w:szCs w:val="17"/>
                <w:b w:val="1"/>
                <w:bCs w:val="1"/>
                <w:color w:val="auto"/>
              </w:rPr>
              <w:t>Subsidiaries of</w:t>
            </w:r>
          </w:p>
        </w:tc>
        <w:tc>
          <w:tcPr>
            <w:tcW w:w="4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4200" w:type="dxa"/>
            <w:vAlign w:val="bottom"/>
          </w:tcPr>
          <w:p>
            <w:pPr>
              <w:spacing w:after="0"/>
              <w:rPr>
                <w:sz w:val="19"/>
                <w:szCs w:val="19"/>
                <w:color w:val="auto"/>
              </w:rPr>
            </w:pPr>
          </w:p>
        </w:tc>
        <w:tc>
          <w:tcPr>
            <w:tcW w:w="2520" w:type="dxa"/>
            <w:vAlign w:val="bottom"/>
          </w:tcPr>
          <w:p>
            <w:pPr>
              <w:ind w:left="580"/>
              <w:spacing w:after="0"/>
              <w:rPr>
                <w:sz w:val="20"/>
                <w:szCs w:val="20"/>
                <w:color w:val="auto"/>
              </w:rPr>
            </w:pPr>
            <w:r>
              <w:rPr>
                <w:rFonts w:ascii="Times New Roman" w:cs="Times New Roman" w:eastAsia="Times New Roman" w:hAnsi="Times New Roman"/>
                <w:sz w:val="17"/>
                <w:szCs w:val="17"/>
                <w:b w:val="1"/>
                <w:bCs w:val="1"/>
                <w:color w:val="auto"/>
              </w:rPr>
              <w:t>Surgery Partners, Inc.</w:t>
            </w:r>
          </w:p>
        </w:tc>
        <w:tc>
          <w:tcPr>
            <w:tcW w:w="4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200" w:type="dxa"/>
            <w:vAlign w:val="bottom"/>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rPr>
              <w:t>Entity Name</w:t>
            </w:r>
          </w:p>
        </w:tc>
        <w:tc>
          <w:tcPr>
            <w:tcW w:w="2520" w:type="dxa"/>
            <w:vAlign w:val="bottom"/>
          </w:tcPr>
          <w:p>
            <w:pPr>
              <w:ind w:left="1200"/>
              <w:spacing w:after="0"/>
              <w:rPr>
                <w:sz w:val="20"/>
                <w:szCs w:val="20"/>
                <w:color w:val="auto"/>
              </w:rPr>
            </w:pPr>
            <w:r>
              <w:rPr>
                <w:rFonts w:ascii="Times New Roman" w:cs="Times New Roman" w:eastAsia="Times New Roman" w:hAnsi="Times New Roman"/>
                <w:sz w:val="15"/>
                <w:szCs w:val="15"/>
                <w:b w:val="1"/>
                <w:bCs w:val="1"/>
                <w:color w:val="auto"/>
              </w:rPr>
              <w:t>Jurisdiction of</w:t>
            </w:r>
          </w:p>
        </w:tc>
        <w:tc>
          <w:tcPr>
            <w:tcW w:w="4500" w:type="dxa"/>
            <w:vAlign w:val="bottom"/>
            <w:vMerge w:val="restart"/>
          </w:tcPr>
          <w:p>
            <w:pPr>
              <w:ind w:left="300"/>
              <w:spacing w:after="0"/>
              <w:rPr>
                <w:sz w:val="20"/>
                <w:szCs w:val="20"/>
                <w:color w:val="auto"/>
              </w:rPr>
            </w:pPr>
            <w:r>
              <w:rPr>
                <w:rFonts w:ascii="Times New Roman" w:cs="Times New Roman" w:eastAsia="Times New Roman" w:hAnsi="Times New Roman"/>
                <w:sz w:val="15"/>
                <w:szCs w:val="15"/>
                <w:b w:val="1"/>
                <w:bCs w:val="1"/>
                <w:color w:val="auto"/>
              </w:rPr>
              <w:t>Doing Business As</w:t>
            </w:r>
          </w:p>
        </w:tc>
        <w:tc>
          <w:tcPr>
            <w:tcW w:w="0" w:type="dxa"/>
            <w:vAlign w:val="bottom"/>
          </w:tcPr>
          <w:p>
            <w:pPr>
              <w:spacing w:after="0"/>
              <w:rPr>
                <w:sz w:val="1"/>
                <w:szCs w:val="1"/>
                <w:color w:val="auto"/>
              </w:rPr>
            </w:pPr>
          </w:p>
        </w:tc>
      </w:tr>
      <w:tr>
        <w:trPr>
          <w:trHeight w:val="205"/>
        </w:trPr>
        <w:tc>
          <w:tcPr>
            <w:tcW w:w="4200" w:type="dxa"/>
            <w:vAlign w:val="bottom"/>
            <w:tcBorders>
              <w:bottom w:val="single" w:sz="8" w:color="auto"/>
            </w:tcBorders>
            <w:vMerge w:val="continue"/>
          </w:tcPr>
          <w:p>
            <w:pPr>
              <w:spacing w:after="0"/>
              <w:rPr>
                <w:sz w:val="17"/>
                <w:szCs w:val="17"/>
                <w:color w:val="auto"/>
              </w:rPr>
            </w:pPr>
          </w:p>
        </w:tc>
        <w:tc>
          <w:tcPr>
            <w:tcW w:w="2520" w:type="dxa"/>
            <w:vAlign w:val="bottom"/>
            <w:tcBorders>
              <w:bottom w:val="single" w:sz="8" w:color="auto"/>
            </w:tcBorders>
          </w:tcPr>
          <w:p>
            <w:pPr>
              <w:ind w:left="1200"/>
              <w:spacing w:after="0"/>
              <w:rPr>
                <w:sz w:val="20"/>
                <w:szCs w:val="20"/>
                <w:color w:val="auto"/>
              </w:rPr>
            </w:pPr>
            <w:r>
              <w:rPr>
                <w:rFonts w:ascii="Times New Roman" w:cs="Times New Roman" w:eastAsia="Times New Roman" w:hAnsi="Times New Roman"/>
                <w:sz w:val="15"/>
                <w:szCs w:val="15"/>
                <w:b w:val="1"/>
                <w:bCs w:val="1"/>
                <w:color w:val="auto"/>
              </w:rPr>
              <w:t>Organization</w:t>
            </w:r>
          </w:p>
        </w:tc>
        <w:tc>
          <w:tcPr>
            <w:tcW w:w="45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2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Advanced Surgery Center, LLC</w:t>
            </w:r>
          </w:p>
        </w:tc>
        <w:tc>
          <w:tcPr>
            <w:tcW w:w="2520" w:type="dxa"/>
            <w:vAlign w:val="bottom"/>
          </w:tcPr>
          <w:p>
            <w:pPr>
              <w:ind w:left="1200"/>
              <w:spacing w:after="0"/>
              <w:rPr>
                <w:sz w:val="20"/>
                <w:szCs w:val="20"/>
                <w:color w:val="auto"/>
              </w:rPr>
            </w:pPr>
            <w:r>
              <w:rPr>
                <w:rFonts w:ascii="Times New Roman" w:cs="Times New Roman" w:eastAsia="Times New Roman" w:hAnsi="Times New Roman"/>
                <w:sz w:val="15"/>
                <w:szCs w:val="15"/>
                <w:color w:val="auto"/>
              </w:rPr>
              <w:t>Nebraska</w:t>
            </w:r>
          </w:p>
        </w:tc>
        <w:tc>
          <w:tcPr>
            <w:tcW w:w="4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2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A&amp;S Management, LLC</w:t>
            </w:r>
          </w:p>
        </w:tc>
        <w:tc>
          <w:tcPr>
            <w:tcW w:w="2520" w:type="dxa"/>
            <w:vAlign w:val="bottom"/>
          </w:tcPr>
          <w:p>
            <w:pPr>
              <w:ind w:left="1200"/>
              <w:spacing w:after="0"/>
              <w:rPr>
                <w:sz w:val="20"/>
                <w:szCs w:val="20"/>
                <w:color w:val="auto"/>
              </w:rPr>
            </w:pPr>
            <w:r>
              <w:rPr>
                <w:rFonts w:ascii="Times New Roman" w:cs="Times New Roman" w:eastAsia="Times New Roman" w:hAnsi="Times New Roman"/>
                <w:sz w:val="15"/>
                <w:szCs w:val="15"/>
                <w:color w:val="auto"/>
              </w:rPr>
              <w:t>Delaware</w:t>
            </w:r>
          </w:p>
        </w:tc>
        <w:tc>
          <w:tcPr>
            <w:tcW w:w="4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2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Akron Vascular Care, LLC</w:t>
            </w:r>
          </w:p>
        </w:tc>
        <w:tc>
          <w:tcPr>
            <w:tcW w:w="2520" w:type="dxa"/>
            <w:vAlign w:val="bottom"/>
          </w:tcPr>
          <w:p>
            <w:pPr>
              <w:ind w:left="1200"/>
              <w:spacing w:after="0"/>
              <w:rPr>
                <w:sz w:val="20"/>
                <w:szCs w:val="20"/>
                <w:color w:val="auto"/>
              </w:rPr>
            </w:pPr>
            <w:r>
              <w:rPr>
                <w:rFonts w:ascii="Times New Roman" w:cs="Times New Roman" w:eastAsia="Times New Roman" w:hAnsi="Times New Roman"/>
                <w:sz w:val="15"/>
                <w:szCs w:val="15"/>
                <w:color w:val="auto"/>
              </w:rPr>
              <w:t>Ohio</w:t>
            </w:r>
          </w:p>
        </w:tc>
        <w:tc>
          <w:tcPr>
            <w:tcW w:w="4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2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Alaska Digestive Center, LLC</w:t>
            </w:r>
          </w:p>
        </w:tc>
        <w:tc>
          <w:tcPr>
            <w:tcW w:w="2520" w:type="dxa"/>
            <w:vAlign w:val="bottom"/>
          </w:tcPr>
          <w:p>
            <w:pPr>
              <w:ind w:left="1200"/>
              <w:spacing w:after="0"/>
              <w:rPr>
                <w:sz w:val="20"/>
                <w:szCs w:val="20"/>
                <w:color w:val="auto"/>
              </w:rPr>
            </w:pPr>
            <w:r>
              <w:rPr>
                <w:rFonts w:ascii="Times New Roman" w:cs="Times New Roman" w:eastAsia="Times New Roman" w:hAnsi="Times New Roman"/>
                <w:sz w:val="15"/>
                <w:szCs w:val="15"/>
                <w:color w:val="auto"/>
              </w:rPr>
              <w:t>Alaska</w:t>
            </w:r>
          </w:p>
        </w:tc>
        <w:tc>
          <w:tcPr>
            <w:tcW w:w="4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2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AllCare Holdco PC</w:t>
            </w:r>
          </w:p>
        </w:tc>
        <w:tc>
          <w:tcPr>
            <w:tcW w:w="2520" w:type="dxa"/>
            <w:vAlign w:val="bottom"/>
          </w:tcPr>
          <w:p>
            <w:pPr>
              <w:ind w:left="1200"/>
              <w:spacing w:after="0"/>
              <w:rPr>
                <w:sz w:val="20"/>
                <w:szCs w:val="20"/>
                <w:color w:val="auto"/>
              </w:rPr>
            </w:pPr>
            <w:r>
              <w:rPr>
                <w:rFonts w:ascii="Times New Roman" w:cs="Times New Roman" w:eastAsia="Times New Roman" w:hAnsi="Times New Roman"/>
                <w:sz w:val="15"/>
                <w:szCs w:val="15"/>
                <w:color w:val="auto"/>
              </w:rPr>
              <w:t>North Carolina</w:t>
            </w:r>
          </w:p>
        </w:tc>
        <w:tc>
          <w:tcPr>
            <w:tcW w:w="4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2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Ambulatory Resource Centres Investment Company, LLC</w:t>
            </w:r>
          </w:p>
        </w:tc>
        <w:tc>
          <w:tcPr>
            <w:tcW w:w="2520" w:type="dxa"/>
            <w:vAlign w:val="bottom"/>
          </w:tcPr>
          <w:p>
            <w:pPr>
              <w:ind w:left="1200"/>
              <w:spacing w:after="0"/>
              <w:rPr>
                <w:sz w:val="20"/>
                <w:szCs w:val="20"/>
                <w:color w:val="auto"/>
              </w:rPr>
            </w:pPr>
            <w:r>
              <w:rPr>
                <w:rFonts w:ascii="Times New Roman" w:cs="Times New Roman" w:eastAsia="Times New Roman" w:hAnsi="Times New Roman"/>
                <w:sz w:val="15"/>
                <w:szCs w:val="15"/>
                <w:color w:val="auto"/>
              </w:rPr>
              <w:t>Delaware</w:t>
            </w:r>
          </w:p>
        </w:tc>
        <w:tc>
          <w:tcPr>
            <w:tcW w:w="4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2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Ambulatory Resource Centres of Washington, LLC</w:t>
            </w:r>
          </w:p>
        </w:tc>
        <w:tc>
          <w:tcPr>
            <w:tcW w:w="2520" w:type="dxa"/>
            <w:vAlign w:val="bottom"/>
          </w:tcPr>
          <w:p>
            <w:pPr>
              <w:ind w:left="1200"/>
              <w:spacing w:after="0"/>
              <w:rPr>
                <w:sz w:val="20"/>
                <w:szCs w:val="20"/>
                <w:color w:val="auto"/>
              </w:rPr>
            </w:pPr>
            <w:r>
              <w:rPr>
                <w:rFonts w:ascii="Times New Roman" w:cs="Times New Roman" w:eastAsia="Times New Roman" w:hAnsi="Times New Roman"/>
                <w:sz w:val="15"/>
                <w:szCs w:val="15"/>
                <w:color w:val="auto"/>
              </w:rPr>
              <w:t>Tennessee</w:t>
            </w:r>
          </w:p>
        </w:tc>
        <w:tc>
          <w:tcPr>
            <w:tcW w:w="4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2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Ambulatory Resource Centres of Wilmington, LLC</w:t>
            </w:r>
          </w:p>
        </w:tc>
        <w:tc>
          <w:tcPr>
            <w:tcW w:w="2520" w:type="dxa"/>
            <w:vAlign w:val="bottom"/>
          </w:tcPr>
          <w:p>
            <w:pPr>
              <w:ind w:left="1200"/>
              <w:spacing w:after="0"/>
              <w:rPr>
                <w:sz w:val="20"/>
                <w:szCs w:val="20"/>
                <w:color w:val="auto"/>
              </w:rPr>
            </w:pPr>
            <w:r>
              <w:rPr>
                <w:rFonts w:ascii="Times New Roman" w:cs="Times New Roman" w:eastAsia="Times New Roman" w:hAnsi="Times New Roman"/>
                <w:sz w:val="15"/>
                <w:szCs w:val="15"/>
                <w:color w:val="auto"/>
              </w:rPr>
              <w:t>Tennessee</w:t>
            </w:r>
          </w:p>
        </w:tc>
        <w:tc>
          <w:tcPr>
            <w:tcW w:w="4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2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Ambulatory Surgery Center of Burley, LLC</w:t>
            </w:r>
          </w:p>
        </w:tc>
        <w:tc>
          <w:tcPr>
            <w:tcW w:w="2520" w:type="dxa"/>
            <w:vAlign w:val="bottom"/>
          </w:tcPr>
          <w:p>
            <w:pPr>
              <w:ind w:left="1200"/>
              <w:spacing w:after="0"/>
              <w:rPr>
                <w:sz w:val="20"/>
                <w:szCs w:val="20"/>
                <w:color w:val="auto"/>
              </w:rPr>
            </w:pPr>
            <w:r>
              <w:rPr>
                <w:rFonts w:ascii="Times New Roman" w:cs="Times New Roman" w:eastAsia="Times New Roman" w:hAnsi="Times New Roman"/>
                <w:sz w:val="15"/>
                <w:szCs w:val="15"/>
                <w:color w:val="auto"/>
              </w:rPr>
              <w:t>Idaho</w:t>
            </w:r>
          </w:p>
        </w:tc>
        <w:tc>
          <w:tcPr>
            <w:tcW w:w="4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2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Anderson &amp; Shapiro Eye Surgeons, S.C.</w:t>
            </w:r>
          </w:p>
        </w:tc>
        <w:tc>
          <w:tcPr>
            <w:tcW w:w="2520" w:type="dxa"/>
            <w:vAlign w:val="bottom"/>
          </w:tcPr>
          <w:p>
            <w:pPr>
              <w:ind w:left="1200"/>
              <w:spacing w:after="0"/>
              <w:rPr>
                <w:sz w:val="20"/>
                <w:szCs w:val="20"/>
                <w:color w:val="auto"/>
              </w:rPr>
            </w:pPr>
            <w:r>
              <w:rPr>
                <w:rFonts w:ascii="Times New Roman" w:cs="Times New Roman" w:eastAsia="Times New Roman" w:hAnsi="Times New Roman"/>
                <w:sz w:val="15"/>
                <w:szCs w:val="15"/>
                <w:color w:val="auto"/>
              </w:rPr>
              <w:t>Wisconsin</w:t>
            </w:r>
          </w:p>
        </w:tc>
        <w:tc>
          <w:tcPr>
            <w:tcW w:w="4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2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Anesthesiology Professional Services, Inc.</w:t>
            </w:r>
          </w:p>
        </w:tc>
        <w:tc>
          <w:tcPr>
            <w:tcW w:w="2520" w:type="dxa"/>
            <w:vAlign w:val="bottom"/>
          </w:tcPr>
          <w:p>
            <w:pPr>
              <w:ind w:left="1200"/>
              <w:spacing w:after="0"/>
              <w:rPr>
                <w:sz w:val="20"/>
                <w:szCs w:val="20"/>
                <w:color w:val="auto"/>
              </w:rPr>
            </w:pPr>
            <w:r>
              <w:rPr>
                <w:rFonts w:ascii="Times New Roman" w:cs="Times New Roman" w:eastAsia="Times New Roman" w:hAnsi="Times New Roman"/>
                <w:sz w:val="15"/>
                <w:szCs w:val="15"/>
                <w:color w:val="auto"/>
              </w:rPr>
              <w:t>Florida</w:t>
            </w:r>
          </w:p>
        </w:tc>
        <w:tc>
          <w:tcPr>
            <w:tcW w:w="4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2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Animas Surgical Hospital, LLC</w:t>
            </w:r>
          </w:p>
        </w:tc>
        <w:tc>
          <w:tcPr>
            <w:tcW w:w="2520" w:type="dxa"/>
            <w:vAlign w:val="bottom"/>
          </w:tcPr>
          <w:p>
            <w:pPr>
              <w:ind w:left="1200"/>
              <w:spacing w:after="0"/>
              <w:rPr>
                <w:sz w:val="20"/>
                <w:szCs w:val="20"/>
                <w:color w:val="auto"/>
              </w:rPr>
            </w:pPr>
            <w:r>
              <w:rPr>
                <w:rFonts w:ascii="Times New Roman" w:cs="Times New Roman" w:eastAsia="Times New Roman" w:hAnsi="Times New Roman"/>
                <w:sz w:val="15"/>
                <w:szCs w:val="15"/>
                <w:color w:val="auto"/>
              </w:rPr>
              <w:t>Delaware</w:t>
            </w:r>
          </w:p>
        </w:tc>
        <w:tc>
          <w:tcPr>
            <w:tcW w:w="4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2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Animas Anesthesia Associates, LLC</w:t>
            </w:r>
          </w:p>
        </w:tc>
        <w:tc>
          <w:tcPr>
            <w:tcW w:w="2520" w:type="dxa"/>
            <w:vAlign w:val="bottom"/>
          </w:tcPr>
          <w:p>
            <w:pPr>
              <w:ind w:left="1200"/>
              <w:spacing w:after="0"/>
              <w:rPr>
                <w:sz w:val="20"/>
                <w:szCs w:val="20"/>
                <w:color w:val="auto"/>
              </w:rPr>
            </w:pPr>
            <w:r>
              <w:rPr>
                <w:rFonts w:ascii="Times New Roman" w:cs="Times New Roman" w:eastAsia="Times New Roman" w:hAnsi="Times New Roman"/>
                <w:sz w:val="15"/>
                <w:szCs w:val="15"/>
                <w:color w:val="auto"/>
              </w:rPr>
              <w:t>Colorado</w:t>
            </w:r>
          </w:p>
        </w:tc>
        <w:tc>
          <w:tcPr>
            <w:tcW w:w="4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2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APS of Jonesboro, LLC</w:t>
            </w:r>
          </w:p>
        </w:tc>
        <w:tc>
          <w:tcPr>
            <w:tcW w:w="2520" w:type="dxa"/>
            <w:vAlign w:val="bottom"/>
          </w:tcPr>
          <w:p>
            <w:pPr>
              <w:ind w:left="1200"/>
              <w:spacing w:after="0"/>
              <w:rPr>
                <w:sz w:val="20"/>
                <w:szCs w:val="20"/>
                <w:color w:val="auto"/>
              </w:rPr>
            </w:pPr>
            <w:r>
              <w:rPr>
                <w:rFonts w:ascii="Times New Roman" w:cs="Times New Roman" w:eastAsia="Times New Roman" w:hAnsi="Times New Roman"/>
                <w:sz w:val="15"/>
                <w:szCs w:val="15"/>
                <w:color w:val="auto"/>
              </w:rPr>
              <w:t>Delaware</w:t>
            </w:r>
          </w:p>
        </w:tc>
        <w:tc>
          <w:tcPr>
            <w:tcW w:w="4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2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ARC Development, LLC</w:t>
            </w:r>
          </w:p>
        </w:tc>
        <w:tc>
          <w:tcPr>
            <w:tcW w:w="2520" w:type="dxa"/>
            <w:vAlign w:val="bottom"/>
          </w:tcPr>
          <w:p>
            <w:pPr>
              <w:ind w:left="1200"/>
              <w:spacing w:after="0"/>
              <w:rPr>
                <w:sz w:val="20"/>
                <w:szCs w:val="20"/>
                <w:color w:val="auto"/>
              </w:rPr>
            </w:pPr>
            <w:r>
              <w:rPr>
                <w:rFonts w:ascii="Times New Roman" w:cs="Times New Roman" w:eastAsia="Times New Roman" w:hAnsi="Times New Roman"/>
                <w:sz w:val="15"/>
                <w:szCs w:val="15"/>
                <w:color w:val="auto"/>
              </w:rPr>
              <w:t>Tennessee</w:t>
            </w:r>
          </w:p>
        </w:tc>
        <w:tc>
          <w:tcPr>
            <w:tcW w:w="4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2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ARC Financial Services, LLC</w:t>
            </w:r>
          </w:p>
        </w:tc>
        <w:tc>
          <w:tcPr>
            <w:tcW w:w="2520" w:type="dxa"/>
            <w:vAlign w:val="bottom"/>
          </w:tcPr>
          <w:p>
            <w:pPr>
              <w:ind w:left="1200"/>
              <w:spacing w:after="0"/>
              <w:rPr>
                <w:sz w:val="20"/>
                <w:szCs w:val="20"/>
                <w:color w:val="auto"/>
              </w:rPr>
            </w:pPr>
            <w:r>
              <w:rPr>
                <w:rFonts w:ascii="Times New Roman" w:cs="Times New Roman" w:eastAsia="Times New Roman" w:hAnsi="Times New Roman"/>
                <w:sz w:val="15"/>
                <w:szCs w:val="15"/>
                <w:color w:val="auto"/>
              </w:rPr>
              <w:t>Tennessee</w:t>
            </w:r>
          </w:p>
        </w:tc>
        <w:tc>
          <w:tcPr>
            <w:tcW w:w="4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2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ARC Kentucky, LLC</w:t>
            </w:r>
          </w:p>
        </w:tc>
        <w:tc>
          <w:tcPr>
            <w:tcW w:w="2520" w:type="dxa"/>
            <w:vAlign w:val="bottom"/>
          </w:tcPr>
          <w:p>
            <w:pPr>
              <w:ind w:left="1200"/>
              <w:spacing w:after="0"/>
              <w:rPr>
                <w:sz w:val="20"/>
                <w:szCs w:val="20"/>
                <w:color w:val="auto"/>
              </w:rPr>
            </w:pPr>
            <w:r>
              <w:rPr>
                <w:rFonts w:ascii="Times New Roman" w:cs="Times New Roman" w:eastAsia="Times New Roman" w:hAnsi="Times New Roman"/>
                <w:sz w:val="15"/>
                <w:szCs w:val="15"/>
                <w:color w:val="auto"/>
              </w:rPr>
              <w:t>Tennessee</w:t>
            </w:r>
          </w:p>
        </w:tc>
        <w:tc>
          <w:tcPr>
            <w:tcW w:w="450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ARC Kentucky/Louisville, LLC</w:t>
            </w:r>
          </w:p>
        </w:tc>
        <w:tc>
          <w:tcPr>
            <w:tcW w:w="0" w:type="dxa"/>
            <w:vAlign w:val="bottom"/>
          </w:tcPr>
          <w:p>
            <w:pPr>
              <w:spacing w:after="0"/>
              <w:rPr>
                <w:sz w:val="1"/>
                <w:szCs w:val="1"/>
                <w:color w:val="auto"/>
              </w:rPr>
            </w:pPr>
          </w:p>
        </w:tc>
      </w:tr>
      <w:tr>
        <w:trPr>
          <w:trHeight w:val="206"/>
        </w:trPr>
        <w:tc>
          <w:tcPr>
            <w:tcW w:w="42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ARC of Bellingham, L.P.</w:t>
            </w:r>
          </w:p>
        </w:tc>
        <w:tc>
          <w:tcPr>
            <w:tcW w:w="2520" w:type="dxa"/>
            <w:vAlign w:val="bottom"/>
          </w:tcPr>
          <w:p>
            <w:pPr>
              <w:ind w:left="1200"/>
              <w:spacing w:after="0"/>
              <w:rPr>
                <w:sz w:val="20"/>
                <w:szCs w:val="20"/>
                <w:color w:val="auto"/>
              </w:rPr>
            </w:pPr>
            <w:r>
              <w:rPr>
                <w:rFonts w:ascii="Times New Roman" w:cs="Times New Roman" w:eastAsia="Times New Roman" w:hAnsi="Times New Roman"/>
                <w:sz w:val="15"/>
                <w:szCs w:val="15"/>
                <w:color w:val="auto"/>
              </w:rPr>
              <w:t>Tennessee</w:t>
            </w:r>
          </w:p>
        </w:tc>
        <w:tc>
          <w:tcPr>
            <w:tcW w:w="4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2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ARC of Georgia, LLC</w:t>
            </w:r>
          </w:p>
        </w:tc>
        <w:tc>
          <w:tcPr>
            <w:tcW w:w="2520" w:type="dxa"/>
            <w:vAlign w:val="bottom"/>
          </w:tcPr>
          <w:p>
            <w:pPr>
              <w:ind w:left="1200"/>
              <w:spacing w:after="0"/>
              <w:rPr>
                <w:sz w:val="20"/>
                <w:szCs w:val="20"/>
                <w:color w:val="auto"/>
              </w:rPr>
            </w:pPr>
            <w:r>
              <w:rPr>
                <w:rFonts w:ascii="Times New Roman" w:cs="Times New Roman" w:eastAsia="Times New Roman" w:hAnsi="Times New Roman"/>
                <w:sz w:val="15"/>
                <w:szCs w:val="15"/>
                <w:color w:val="auto"/>
              </w:rPr>
              <w:t>Tennessee</w:t>
            </w:r>
          </w:p>
        </w:tc>
        <w:tc>
          <w:tcPr>
            <w:tcW w:w="450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Premier Surgery Center</w:t>
            </w:r>
          </w:p>
        </w:tc>
        <w:tc>
          <w:tcPr>
            <w:tcW w:w="0" w:type="dxa"/>
            <w:vAlign w:val="bottom"/>
          </w:tcPr>
          <w:p>
            <w:pPr>
              <w:spacing w:after="0"/>
              <w:rPr>
                <w:sz w:val="1"/>
                <w:szCs w:val="1"/>
                <w:color w:val="auto"/>
              </w:rPr>
            </w:pPr>
          </w:p>
        </w:tc>
      </w:tr>
      <w:tr>
        <w:trPr>
          <w:trHeight w:val="206"/>
        </w:trPr>
        <w:tc>
          <w:tcPr>
            <w:tcW w:w="42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Armenia Ambulatory Surgery Center, LLC</w:t>
            </w:r>
          </w:p>
        </w:tc>
        <w:tc>
          <w:tcPr>
            <w:tcW w:w="2520" w:type="dxa"/>
            <w:vAlign w:val="bottom"/>
          </w:tcPr>
          <w:p>
            <w:pPr>
              <w:ind w:left="1200"/>
              <w:spacing w:after="0"/>
              <w:rPr>
                <w:sz w:val="20"/>
                <w:szCs w:val="20"/>
                <w:color w:val="auto"/>
              </w:rPr>
            </w:pPr>
            <w:r>
              <w:rPr>
                <w:rFonts w:ascii="Times New Roman" w:cs="Times New Roman" w:eastAsia="Times New Roman" w:hAnsi="Times New Roman"/>
                <w:sz w:val="15"/>
                <w:szCs w:val="15"/>
                <w:color w:val="auto"/>
              </w:rPr>
              <w:t>Florida</w:t>
            </w:r>
          </w:p>
        </w:tc>
        <w:tc>
          <w:tcPr>
            <w:tcW w:w="4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2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ASC Gamma Partners, Ltd.</w:t>
            </w:r>
          </w:p>
        </w:tc>
        <w:tc>
          <w:tcPr>
            <w:tcW w:w="2520" w:type="dxa"/>
            <w:vAlign w:val="bottom"/>
          </w:tcPr>
          <w:p>
            <w:pPr>
              <w:ind w:left="1200"/>
              <w:spacing w:after="0"/>
              <w:rPr>
                <w:sz w:val="20"/>
                <w:szCs w:val="20"/>
                <w:color w:val="auto"/>
              </w:rPr>
            </w:pPr>
            <w:r>
              <w:rPr>
                <w:rFonts w:ascii="Times New Roman" w:cs="Times New Roman" w:eastAsia="Times New Roman" w:hAnsi="Times New Roman"/>
                <w:sz w:val="15"/>
                <w:szCs w:val="15"/>
                <w:color w:val="auto"/>
              </w:rPr>
              <w:t>Florida</w:t>
            </w:r>
          </w:p>
        </w:tc>
        <w:tc>
          <w:tcPr>
            <w:tcW w:w="450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Miami Surgical Center</w:t>
            </w:r>
          </w:p>
        </w:tc>
        <w:tc>
          <w:tcPr>
            <w:tcW w:w="0" w:type="dxa"/>
            <w:vAlign w:val="bottom"/>
          </w:tcPr>
          <w:p>
            <w:pPr>
              <w:spacing w:after="0"/>
              <w:rPr>
                <w:sz w:val="1"/>
                <w:szCs w:val="1"/>
                <w:color w:val="auto"/>
              </w:rPr>
            </w:pPr>
          </w:p>
        </w:tc>
      </w:tr>
      <w:tr>
        <w:trPr>
          <w:trHeight w:val="206"/>
        </w:trPr>
        <w:tc>
          <w:tcPr>
            <w:tcW w:w="42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Bahamas Surgery Center, LLC</w:t>
            </w:r>
          </w:p>
        </w:tc>
        <w:tc>
          <w:tcPr>
            <w:tcW w:w="2520" w:type="dxa"/>
            <w:vAlign w:val="bottom"/>
          </w:tcPr>
          <w:p>
            <w:pPr>
              <w:ind w:left="1200"/>
              <w:spacing w:after="0"/>
              <w:rPr>
                <w:sz w:val="20"/>
                <w:szCs w:val="20"/>
                <w:color w:val="auto"/>
              </w:rPr>
            </w:pPr>
            <w:r>
              <w:rPr>
                <w:rFonts w:ascii="Times New Roman" w:cs="Times New Roman" w:eastAsia="Times New Roman" w:hAnsi="Times New Roman"/>
                <w:sz w:val="15"/>
                <w:szCs w:val="15"/>
                <w:color w:val="auto"/>
              </w:rPr>
              <w:t>California</w:t>
            </w:r>
          </w:p>
        </w:tc>
        <w:tc>
          <w:tcPr>
            <w:tcW w:w="4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2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Baton Rouge Anesthesia Services, LLC</w:t>
            </w:r>
          </w:p>
        </w:tc>
        <w:tc>
          <w:tcPr>
            <w:tcW w:w="2520" w:type="dxa"/>
            <w:vAlign w:val="bottom"/>
          </w:tcPr>
          <w:p>
            <w:pPr>
              <w:ind w:left="1200"/>
              <w:spacing w:after="0"/>
              <w:rPr>
                <w:sz w:val="20"/>
                <w:szCs w:val="20"/>
                <w:color w:val="auto"/>
              </w:rPr>
            </w:pPr>
            <w:r>
              <w:rPr>
                <w:rFonts w:ascii="Times New Roman" w:cs="Times New Roman" w:eastAsia="Times New Roman" w:hAnsi="Times New Roman"/>
                <w:sz w:val="15"/>
                <w:szCs w:val="15"/>
                <w:color w:val="auto"/>
              </w:rPr>
              <w:t>Delaware</w:t>
            </w:r>
          </w:p>
        </w:tc>
        <w:tc>
          <w:tcPr>
            <w:tcW w:w="4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2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Bayside Endoscopy Center, LLC</w:t>
            </w:r>
          </w:p>
        </w:tc>
        <w:tc>
          <w:tcPr>
            <w:tcW w:w="2520" w:type="dxa"/>
            <w:vAlign w:val="bottom"/>
          </w:tcPr>
          <w:p>
            <w:pPr>
              <w:ind w:left="1200"/>
              <w:spacing w:after="0"/>
              <w:rPr>
                <w:sz w:val="20"/>
                <w:szCs w:val="20"/>
                <w:color w:val="auto"/>
              </w:rPr>
            </w:pPr>
            <w:r>
              <w:rPr>
                <w:rFonts w:ascii="Times New Roman" w:cs="Times New Roman" w:eastAsia="Times New Roman" w:hAnsi="Times New Roman"/>
                <w:sz w:val="15"/>
                <w:szCs w:val="15"/>
                <w:color w:val="auto"/>
              </w:rPr>
              <w:t>Rhode Island</w:t>
            </w:r>
          </w:p>
        </w:tc>
        <w:tc>
          <w:tcPr>
            <w:tcW w:w="4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2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BBH Holdings of Idaho Falls, LLC</w:t>
            </w:r>
          </w:p>
        </w:tc>
        <w:tc>
          <w:tcPr>
            <w:tcW w:w="2520" w:type="dxa"/>
            <w:vAlign w:val="bottom"/>
          </w:tcPr>
          <w:p>
            <w:pPr>
              <w:ind w:left="1200"/>
              <w:spacing w:after="0"/>
              <w:rPr>
                <w:sz w:val="20"/>
                <w:szCs w:val="20"/>
                <w:color w:val="auto"/>
              </w:rPr>
            </w:pPr>
            <w:r>
              <w:rPr>
                <w:rFonts w:ascii="Times New Roman" w:cs="Times New Roman" w:eastAsia="Times New Roman" w:hAnsi="Times New Roman"/>
                <w:sz w:val="15"/>
                <w:szCs w:val="15"/>
                <w:color w:val="auto"/>
              </w:rPr>
              <w:t>Delaware</w:t>
            </w:r>
          </w:p>
        </w:tc>
        <w:tc>
          <w:tcPr>
            <w:tcW w:w="4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2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Birmingham Surgery Center, LLC</w:t>
            </w:r>
          </w:p>
        </w:tc>
        <w:tc>
          <w:tcPr>
            <w:tcW w:w="2520" w:type="dxa"/>
            <w:vAlign w:val="bottom"/>
          </w:tcPr>
          <w:p>
            <w:pPr>
              <w:ind w:left="1200"/>
              <w:spacing w:after="0"/>
              <w:rPr>
                <w:sz w:val="20"/>
                <w:szCs w:val="20"/>
                <w:color w:val="auto"/>
              </w:rPr>
            </w:pPr>
            <w:r>
              <w:rPr>
                <w:rFonts w:ascii="Times New Roman" w:cs="Times New Roman" w:eastAsia="Times New Roman" w:hAnsi="Times New Roman"/>
                <w:sz w:val="15"/>
                <w:szCs w:val="15"/>
                <w:color w:val="auto"/>
              </w:rPr>
              <w:t>Delaware</w:t>
            </w:r>
          </w:p>
        </w:tc>
        <w:tc>
          <w:tcPr>
            <w:tcW w:w="4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2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Blue Ridge Surgical Center, LLC</w:t>
            </w:r>
          </w:p>
        </w:tc>
        <w:tc>
          <w:tcPr>
            <w:tcW w:w="2520" w:type="dxa"/>
            <w:vAlign w:val="bottom"/>
          </w:tcPr>
          <w:p>
            <w:pPr>
              <w:ind w:left="1200"/>
              <w:spacing w:after="0"/>
              <w:rPr>
                <w:sz w:val="20"/>
                <w:szCs w:val="20"/>
                <w:color w:val="auto"/>
              </w:rPr>
            </w:pPr>
            <w:r>
              <w:rPr>
                <w:rFonts w:ascii="Times New Roman" w:cs="Times New Roman" w:eastAsia="Times New Roman" w:hAnsi="Times New Roman"/>
                <w:sz w:val="15"/>
                <w:szCs w:val="15"/>
                <w:color w:val="auto"/>
              </w:rPr>
              <w:t>Delaware</w:t>
            </w:r>
          </w:p>
        </w:tc>
        <w:tc>
          <w:tcPr>
            <w:tcW w:w="4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2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Bone Management MSO, LLC</w:t>
            </w:r>
          </w:p>
        </w:tc>
        <w:tc>
          <w:tcPr>
            <w:tcW w:w="2520" w:type="dxa"/>
            <w:vAlign w:val="bottom"/>
          </w:tcPr>
          <w:p>
            <w:pPr>
              <w:ind w:left="1200"/>
              <w:spacing w:after="0"/>
              <w:rPr>
                <w:sz w:val="20"/>
                <w:szCs w:val="20"/>
                <w:color w:val="auto"/>
              </w:rPr>
            </w:pPr>
            <w:r>
              <w:rPr>
                <w:rFonts w:ascii="Times New Roman" w:cs="Times New Roman" w:eastAsia="Times New Roman" w:hAnsi="Times New Roman"/>
                <w:sz w:val="15"/>
                <w:szCs w:val="15"/>
                <w:color w:val="auto"/>
              </w:rPr>
              <w:t>Delaware</w:t>
            </w:r>
          </w:p>
        </w:tc>
        <w:tc>
          <w:tcPr>
            <w:tcW w:w="4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2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Bristol Spine Center, LLC</w:t>
            </w:r>
          </w:p>
        </w:tc>
        <w:tc>
          <w:tcPr>
            <w:tcW w:w="2520" w:type="dxa"/>
            <w:vAlign w:val="bottom"/>
          </w:tcPr>
          <w:p>
            <w:pPr>
              <w:ind w:left="1200"/>
              <w:spacing w:after="0"/>
              <w:rPr>
                <w:sz w:val="20"/>
                <w:szCs w:val="20"/>
                <w:color w:val="auto"/>
              </w:rPr>
            </w:pPr>
            <w:r>
              <w:rPr>
                <w:rFonts w:ascii="Times New Roman" w:cs="Times New Roman" w:eastAsia="Times New Roman" w:hAnsi="Times New Roman"/>
                <w:sz w:val="15"/>
                <w:szCs w:val="15"/>
                <w:color w:val="auto"/>
              </w:rPr>
              <w:t>Delaware</w:t>
            </w:r>
          </w:p>
        </w:tc>
        <w:tc>
          <w:tcPr>
            <w:tcW w:w="450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Renaissance Surgery Center</w:t>
            </w:r>
          </w:p>
        </w:tc>
        <w:tc>
          <w:tcPr>
            <w:tcW w:w="0" w:type="dxa"/>
            <w:vAlign w:val="bottom"/>
          </w:tcPr>
          <w:p>
            <w:pPr>
              <w:spacing w:after="0"/>
              <w:rPr>
                <w:sz w:val="1"/>
                <w:szCs w:val="1"/>
                <w:color w:val="auto"/>
              </w:rPr>
            </w:pPr>
          </w:p>
        </w:tc>
      </w:tr>
      <w:tr>
        <w:trPr>
          <w:trHeight w:val="206"/>
        </w:trPr>
        <w:tc>
          <w:tcPr>
            <w:tcW w:w="42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Brooklyn SC, LLC</w:t>
            </w:r>
          </w:p>
        </w:tc>
        <w:tc>
          <w:tcPr>
            <w:tcW w:w="2520" w:type="dxa"/>
            <w:vAlign w:val="bottom"/>
          </w:tcPr>
          <w:p>
            <w:pPr>
              <w:ind w:left="1200"/>
              <w:spacing w:after="0"/>
              <w:rPr>
                <w:sz w:val="20"/>
                <w:szCs w:val="20"/>
                <w:color w:val="auto"/>
              </w:rPr>
            </w:pPr>
            <w:r>
              <w:rPr>
                <w:rFonts w:ascii="Times New Roman" w:cs="Times New Roman" w:eastAsia="Times New Roman" w:hAnsi="Times New Roman"/>
                <w:sz w:val="15"/>
                <w:szCs w:val="15"/>
                <w:color w:val="auto"/>
              </w:rPr>
              <w:t>South Carolina</w:t>
            </w:r>
          </w:p>
        </w:tc>
        <w:tc>
          <w:tcPr>
            <w:tcW w:w="4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2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BSC Administrative Services Organization, LLC</w:t>
            </w:r>
          </w:p>
        </w:tc>
        <w:tc>
          <w:tcPr>
            <w:tcW w:w="2520" w:type="dxa"/>
            <w:vAlign w:val="bottom"/>
          </w:tcPr>
          <w:p>
            <w:pPr>
              <w:ind w:left="1200"/>
              <w:spacing w:after="0"/>
              <w:rPr>
                <w:sz w:val="20"/>
                <w:szCs w:val="20"/>
                <w:color w:val="auto"/>
              </w:rPr>
            </w:pPr>
            <w:r>
              <w:rPr>
                <w:rFonts w:ascii="Times New Roman" w:cs="Times New Roman" w:eastAsia="Times New Roman" w:hAnsi="Times New Roman"/>
                <w:sz w:val="15"/>
                <w:szCs w:val="15"/>
                <w:color w:val="auto"/>
              </w:rPr>
              <w:t>Delaware</w:t>
            </w:r>
          </w:p>
        </w:tc>
        <w:tc>
          <w:tcPr>
            <w:tcW w:w="4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2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Cape Coral Ambulatory Surgery Center, LLC</w:t>
            </w:r>
          </w:p>
        </w:tc>
        <w:tc>
          <w:tcPr>
            <w:tcW w:w="2520" w:type="dxa"/>
            <w:vAlign w:val="bottom"/>
          </w:tcPr>
          <w:p>
            <w:pPr>
              <w:ind w:left="1200"/>
              <w:spacing w:after="0"/>
              <w:rPr>
                <w:sz w:val="20"/>
                <w:szCs w:val="20"/>
                <w:color w:val="auto"/>
              </w:rPr>
            </w:pPr>
            <w:r>
              <w:rPr>
                <w:rFonts w:ascii="Times New Roman" w:cs="Times New Roman" w:eastAsia="Times New Roman" w:hAnsi="Times New Roman"/>
                <w:sz w:val="15"/>
                <w:szCs w:val="15"/>
                <w:color w:val="auto"/>
              </w:rPr>
              <w:t>Florida</w:t>
            </w:r>
          </w:p>
        </w:tc>
        <w:tc>
          <w:tcPr>
            <w:tcW w:w="4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2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Cape Coral Anesthesia Services, LLC</w:t>
            </w:r>
          </w:p>
        </w:tc>
        <w:tc>
          <w:tcPr>
            <w:tcW w:w="2520" w:type="dxa"/>
            <w:vAlign w:val="bottom"/>
          </w:tcPr>
          <w:p>
            <w:pPr>
              <w:ind w:left="1200"/>
              <w:spacing w:after="0"/>
              <w:rPr>
                <w:sz w:val="20"/>
                <w:szCs w:val="20"/>
                <w:color w:val="auto"/>
              </w:rPr>
            </w:pPr>
            <w:r>
              <w:rPr>
                <w:rFonts w:ascii="Times New Roman" w:cs="Times New Roman" w:eastAsia="Times New Roman" w:hAnsi="Times New Roman"/>
                <w:sz w:val="15"/>
                <w:szCs w:val="15"/>
                <w:color w:val="auto"/>
              </w:rPr>
              <w:t>Florida</w:t>
            </w:r>
          </w:p>
        </w:tc>
        <w:tc>
          <w:tcPr>
            <w:tcW w:w="4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2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Cardiac Cath Lab of Idaho Falls, LLC</w:t>
            </w:r>
          </w:p>
        </w:tc>
        <w:tc>
          <w:tcPr>
            <w:tcW w:w="2520" w:type="dxa"/>
            <w:vAlign w:val="bottom"/>
          </w:tcPr>
          <w:p>
            <w:pPr>
              <w:ind w:left="1200"/>
              <w:spacing w:after="0"/>
              <w:rPr>
                <w:sz w:val="20"/>
                <w:szCs w:val="20"/>
                <w:color w:val="auto"/>
              </w:rPr>
            </w:pPr>
            <w:r>
              <w:rPr>
                <w:rFonts w:ascii="Times New Roman" w:cs="Times New Roman" w:eastAsia="Times New Roman" w:hAnsi="Times New Roman"/>
                <w:sz w:val="15"/>
                <w:szCs w:val="15"/>
                <w:color w:val="auto"/>
              </w:rPr>
              <w:t>Delaware</w:t>
            </w:r>
          </w:p>
        </w:tc>
        <w:tc>
          <w:tcPr>
            <w:tcW w:w="450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Eagle Rock Outpatient Center</w:t>
            </w:r>
          </w:p>
        </w:tc>
        <w:tc>
          <w:tcPr>
            <w:tcW w:w="0" w:type="dxa"/>
            <w:vAlign w:val="bottom"/>
          </w:tcPr>
          <w:p>
            <w:pPr>
              <w:spacing w:after="0"/>
              <w:rPr>
                <w:sz w:val="1"/>
                <w:szCs w:val="1"/>
                <w:color w:val="auto"/>
              </w:rPr>
            </w:pPr>
          </w:p>
        </w:tc>
      </w:tr>
      <w:tr>
        <w:trPr>
          <w:trHeight w:val="206"/>
        </w:trPr>
        <w:tc>
          <w:tcPr>
            <w:tcW w:w="42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CBSH, LLC</w:t>
            </w:r>
          </w:p>
        </w:tc>
        <w:tc>
          <w:tcPr>
            <w:tcW w:w="2520" w:type="dxa"/>
            <w:vAlign w:val="bottom"/>
          </w:tcPr>
          <w:p>
            <w:pPr>
              <w:ind w:left="1200"/>
              <w:spacing w:after="0"/>
              <w:rPr>
                <w:sz w:val="20"/>
                <w:szCs w:val="20"/>
                <w:color w:val="auto"/>
              </w:rPr>
            </w:pPr>
            <w:r>
              <w:rPr>
                <w:rFonts w:ascii="Times New Roman" w:cs="Times New Roman" w:eastAsia="Times New Roman" w:hAnsi="Times New Roman"/>
                <w:sz w:val="15"/>
                <w:szCs w:val="15"/>
                <w:color w:val="auto"/>
              </w:rPr>
              <w:t>Texas</w:t>
            </w:r>
          </w:p>
        </w:tc>
        <w:tc>
          <w:tcPr>
            <w:tcW w:w="4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2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CBSH Physicians Organization</w:t>
            </w:r>
          </w:p>
        </w:tc>
        <w:tc>
          <w:tcPr>
            <w:tcW w:w="2520" w:type="dxa"/>
            <w:vAlign w:val="bottom"/>
          </w:tcPr>
          <w:p>
            <w:pPr>
              <w:ind w:left="1200"/>
              <w:spacing w:after="0"/>
              <w:rPr>
                <w:sz w:val="20"/>
                <w:szCs w:val="20"/>
                <w:color w:val="auto"/>
              </w:rPr>
            </w:pPr>
            <w:r>
              <w:rPr>
                <w:rFonts w:ascii="Times New Roman" w:cs="Times New Roman" w:eastAsia="Times New Roman" w:hAnsi="Times New Roman"/>
                <w:sz w:val="15"/>
                <w:szCs w:val="15"/>
                <w:color w:val="auto"/>
              </w:rPr>
              <w:t>Texas</w:t>
            </w:r>
          </w:p>
        </w:tc>
        <w:tc>
          <w:tcPr>
            <w:tcW w:w="4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2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CC Pocatello, LLC</w:t>
            </w:r>
          </w:p>
        </w:tc>
        <w:tc>
          <w:tcPr>
            <w:tcW w:w="2520" w:type="dxa"/>
            <w:vAlign w:val="bottom"/>
          </w:tcPr>
          <w:p>
            <w:pPr>
              <w:ind w:left="1200"/>
              <w:spacing w:after="0"/>
              <w:rPr>
                <w:sz w:val="20"/>
                <w:szCs w:val="20"/>
                <w:color w:val="auto"/>
              </w:rPr>
            </w:pPr>
            <w:r>
              <w:rPr>
                <w:rFonts w:ascii="Times New Roman" w:cs="Times New Roman" w:eastAsia="Times New Roman" w:hAnsi="Times New Roman"/>
                <w:sz w:val="15"/>
                <w:szCs w:val="15"/>
                <w:color w:val="auto"/>
              </w:rPr>
              <w:t>Idaho</w:t>
            </w:r>
          </w:p>
        </w:tc>
        <w:tc>
          <w:tcPr>
            <w:tcW w:w="4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2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CCIF, LLC</w:t>
            </w:r>
          </w:p>
        </w:tc>
        <w:tc>
          <w:tcPr>
            <w:tcW w:w="2520" w:type="dxa"/>
            <w:vAlign w:val="bottom"/>
          </w:tcPr>
          <w:p>
            <w:pPr>
              <w:ind w:left="1200"/>
              <w:spacing w:after="0"/>
              <w:rPr>
                <w:sz w:val="20"/>
                <w:szCs w:val="20"/>
                <w:color w:val="auto"/>
              </w:rPr>
            </w:pPr>
            <w:r>
              <w:rPr>
                <w:rFonts w:ascii="Times New Roman" w:cs="Times New Roman" w:eastAsia="Times New Roman" w:hAnsi="Times New Roman"/>
                <w:sz w:val="15"/>
                <w:szCs w:val="15"/>
                <w:color w:val="auto"/>
              </w:rPr>
              <w:t>Delaware</w:t>
            </w:r>
          </w:p>
        </w:tc>
        <w:tc>
          <w:tcPr>
            <w:tcW w:w="4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2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Center For Orthopedic Surgery, LLC</w:t>
            </w:r>
          </w:p>
        </w:tc>
        <w:tc>
          <w:tcPr>
            <w:tcW w:w="2520" w:type="dxa"/>
            <w:vAlign w:val="bottom"/>
          </w:tcPr>
          <w:p>
            <w:pPr>
              <w:ind w:left="1200"/>
              <w:spacing w:after="0"/>
              <w:rPr>
                <w:sz w:val="20"/>
                <w:szCs w:val="20"/>
                <w:color w:val="auto"/>
              </w:rPr>
            </w:pPr>
            <w:r>
              <w:rPr>
                <w:rFonts w:ascii="Times New Roman" w:cs="Times New Roman" w:eastAsia="Times New Roman" w:hAnsi="Times New Roman"/>
                <w:sz w:val="15"/>
                <w:szCs w:val="15"/>
                <w:color w:val="auto"/>
              </w:rPr>
              <w:t>California</w:t>
            </w:r>
          </w:p>
        </w:tc>
        <w:tc>
          <w:tcPr>
            <w:tcW w:w="4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2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Chicago Prostate Cancer Surgery Center, LLC</w:t>
            </w:r>
          </w:p>
        </w:tc>
        <w:tc>
          <w:tcPr>
            <w:tcW w:w="2520" w:type="dxa"/>
            <w:vAlign w:val="bottom"/>
          </w:tcPr>
          <w:p>
            <w:pPr>
              <w:ind w:left="1200"/>
              <w:spacing w:after="0"/>
              <w:rPr>
                <w:sz w:val="20"/>
                <w:szCs w:val="20"/>
                <w:color w:val="auto"/>
              </w:rPr>
            </w:pPr>
            <w:r>
              <w:rPr>
                <w:rFonts w:ascii="Times New Roman" w:cs="Times New Roman" w:eastAsia="Times New Roman" w:hAnsi="Times New Roman"/>
                <w:sz w:val="15"/>
                <w:szCs w:val="15"/>
                <w:color w:val="auto"/>
              </w:rPr>
              <w:t>Illinois</w:t>
            </w:r>
          </w:p>
        </w:tc>
        <w:tc>
          <w:tcPr>
            <w:tcW w:w="4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2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CIPM Holdco, Inc.</w:t>
            </w:r>
          </w:p>
        </w:tc>
        <w:tc>
          <w:tcPr>
            <w:tcW w:w="2520" w:type="dxa"/>
            <w:vAlign w:val="bottom"/>
          </w:tcPr>
          <w:p>
            <w:pPr>
              <w:ind w:left="1200"/>
              <w:spacing w:after="0"/>
              <w:rPr>
                <w:sz w:val="20"/>
                <w:szCs w:val="20"/>
                <w:color w:val="auto"/>
              </w:rPr>
            </w:pPr>
            <w:r>
              <w:rPr>
                <w:rFonts w:ascii="Times New Roman" w:cs="Times New Roman" w:eastAsia="Times New Roman" w:hAnsi="Times New Roman"/>
                <w:sz w:val="15"/>
                <w:szCs w:val="15"/>
                <w:color w:val="auto"/>
              </w:rPr>
              <w:t>Georgia</w:t>
            </w:r>
          </w:p>
        </w:tc>
        <w:tc>
          <w:tcPr>
            <w:tcW w:w="4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2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Cleveland East Vascular Care, LLC</w:t>
            </w:r>
          </w:p>
        </w:tc>
        <w:tc>
          <w:tcPr>
            <w:tcW w:w="2520" w:type="dxa"/>
            <w:vAlign w:val="bottom"/>
          </w:tcPr>
          <w:p>
            <w:pPr>
              <w:ind w:left="1200"/>
              <w:spacing w:after="0"/>
              <w:rPr>
                <w:sz w:val="20"/>
                <w:szCs w:val="20"/>
                <w:color w:val="auto"/>
              </w:rPr>
            </w:pPr>
            <w:r>
              <w:rPr>
                <w:rFonts w:ascii="Times New Roman" w:cs="Times New Roman" w:eastAsia="Times New Roman" w:hAnsi="Times New Roman"/>
                <w:sz w:val="15"/>
                <w:szCs w:val="15"/>
                <w:color w:val="auto"/>
              </w:rPr>
              <w:t>Ohio</w:t>
            </w:r>
          </w:p>
        </w:tc>
        <w:tc>
          <w:tcPr>
            <w:tcW w:w="4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2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Cleveland West Vascular Care, LLC</w:t>
            </w:r>
          </w:p>
        </w:tc>
        <w:tc>
          <w:tcPr>
            <w:tcW w:w="2520" w:type="dxa"/>
            <w:vAlign w:val="bottom"/>
          </w:tcPr>
          <w:p>
            <w:pPr>
              <w:ind w:left="1200"/>
              <w:spacing w:after="0"/>
              <w:rPr>
                <w:sz w:val="20"/>
                <w:szCs w:val="20"/>
                <w:color w:val="auto"/>
              </w:rPr>
            </w:pPr>
            <w:r>
              <w:rPr>
                <w:rFonts w:ascii="Times New Roman" w:cs="Times New Roman" w:eastAsia="Times New Roman" w:hAnsi="Times New Roman"/>
                <w:sz w:val="15"/>
                <w:szCs w:val="15"/>
                <w:color w:val="auto"/>
              </w:rPr>
              <w:t>Ohio</w:t>
            </w:r>
          </w:p>
        </w:tc>
        <w:tc>
          <w:tcPr>
            <w:tcW w:w="4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2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Clinical Research Prime Idaho Falls, LLC</w:t>
            </w:r>
          </w:p>
        </w:tc>
        <w:tc>
          <w:tcPr>
            <w:tcW w:w="2520" w:type="dxa"/>
            <w:vAlign w:val="bottom"/>
          </w:tcPr>
          <w:p>
            <w:pPr>
              <w:ind w:left="1200"/>
              <w:spacing w:after="0"/>
              <w:rPr>
                <w:sz w:val="20"/>
                <w:szCs w:val="20"/>
                <w:color w:val="auto"/>
              </w:rPr>
            </w:pPr>
            <w:r>
              <w:rPr>
                <w:rFonts w:ascii="Times New Roman" w:cs="Times New Roman" w:eastAsia="Times New Roman" w:hAnsi="Times New Roman"/>
                <w:sz w:val="15"/>
                <w:szCs w:val="15"/>
                <w:color w:val="auto"/>
              </w:rPr>
              <w:t>Idaho</w:t>
            </w:r>
          </w:p>
        </w:tc>
        <w:tc>
          <w:tcPr>
            <w:tcW w:w="45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40" w:top="854" w:right="339" w:bottom="1440" w:gutter="0" w:footer="0" w:header="0"/>
        </w:sectPr>
      </w:pPr>
    </w:p>
    <w:bookmarkStart w:id="91" w:name="page92"/>
    <w:bookmarkEnd w:id="9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280" w:type="dxa"/>
            <w:vAlign w:val="bottom"/>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rPr>
              <w:t>Entity Name</w:t>
            </w:r>
          </w:p>
        </w:tc>
        <w:tc>
          <w:tcPr>
            <w:tcW w:w="2420" w:type="dxa"/>
            <w:vAlign w:val="bottom"/>
          </w:tcPr>
          <w:p>
            <w:pPr>
              <w:ind w:left="1120"/>
              <w:spacing w:after="0"/>
              <w:rPr>
                <w:sz w:val="20"/>
                <w:szCs w:val="20"/>
                <w:color w:val="auto"/>
              </w:rPr>
            </w:pPr>
            <w:r>
              <w:rPr>
                <w:rFonts w:ascii="Times New Roman" w:cs="Times New Roman" w:eastAsia="Times New Roman" w:hAnsi="Times New Roman"/>
                <w:sz w:val="15"/>
                <w:szCs w:val="15"/>
                <w:b w:val="1"/>
                <w:bCs w:val="1"/>
                <w:color w:val="auto"/>
              </w:rPr>
              <w:t>Jurisdiction of</w:t>
            </w:r>
          </w:p>
        </w:tc>
        <w:tc>
          <w:tcPr>
            <w:tcW w:w="4520" w:type="dxa"/>
            <w:vAlign w:val="bottom"/>
            <w:vMerge w:val="restart"/>
          </w:tcPr>
          <w:p>
            <w:pPr>
              <w:ind w:left="320"/>
              <w:spacing w:after="0"/>
              <w:rPr>
                <w:sz w:val="20"/>
                <w:szCs w:val="20"/>
                <w:color w:val="auto"/>
              </w:rPr>
            </w:pPr>
            <w:r>
              <w:rPr>
                <w:rFonts w:ascii="Times New Roman" w:cs="Times New Roman" w:eastAsia="Times New Roman" w:hAnsi="Times New Roman"/>
                <w:sz w:val="15"/>
                <w:szCs w:val="15"/>
                <w:b w:val="1"/>
                <w:bCs w:val="1"/>
                <w:color w:val="auto"/>
              </w:rPr>
              <w:t>Doing Business As</w:t>
            </w:r>
          </w:p>
        </w:tc>
        <w:tc>
          <w:tcPr>
            <w:tcW w:w="0" w:type="dxa"/>
            <w:vAlign w:val="bottom"/>
          </w:tcPr>
          <w:p>
            <w:pPr>
              <w:spacing w:after="0"/>
              <w:rPr>
                <w:sz w:val="1"/>
                <w:szCs w:val="1"/>
                <w:color w:val="auto"/>
              </w:rPr>
            </w:pPr>
          </w:p>
        </w:tc>
      </w:tr>
      <w:tr>
        <w:trPr>
          <w:trHeight w:val="205"/>
        </w:trPr>
        <w:tc>
          <w:tcPr>
            <w:tcW w:w="4280" w:type="dxa"/>
            <w:vAlign w:val="bottom"/>
            <w:tcBorders>
              <w:bottom w:val="single" w:sz="8" w:color="auto"/>
            </w:tcBorders>
            <w:vMerge w:val="continue"/>
          </w:tcPr>
          <w:p>
            <w:pPr>
              <w:spacing w:after="0"/>
              <w:rPr>
                <w:sz w:val="17"/>
                <w:szCs w:val="17"/>
                <w:color w:val="auto"/>
              </w:rPr>
            </w:pPr>
          </w:p>
        </w:tc>
        <w:tc>
          <w:tcPr>
            <w:tcW w:w="2420" w:type="dxa"/>
            <w:vAlign w:val="bottom"/>
            <w:tcBorders>
              <w:bottom w:val="single" w:sz="8" w:color="auto"/>
            </w:tcBorders>
          </w:tcPr>
          <w:p>
            <w:pPr>
              <w:ind w:left="1120"/>
              <w:spacing w:after="0"/>
              <w:rPr>
                <w:sz w:val="20"/>
                <w:szCs w:val="20"/>
                <w:color w:val="auto"/>
              </w:rPr>
            </w:pPr>
            <w:r>
              <w:rPr>
                <w:rFonts w:ascii="Times New Roman" w:cs="Times New Roman" w:eastAsia="Times New Roman" w:hAnsi="Times New Roman"/>
                <w:sz w:val="15"/>
                <w:szCs w:val="15"/>
                <w:b w:val="1"/>
                <w:bCs w:val="1"/>
                <w:color w:val="auto"/>
              </w:rPr>
              <w:t>Organization</w:t>
            </w:r>
          </w:p>
        </w:tc>
        <w:tc>
          <w:tcPr>
            <w:tcW w:w="45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2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CMSC, LLC</w:t>
            </w:r>
          </w:p>
        </w:tc>
        <w:tc>
          <w:tcPr>
            <w:tcW w:w="2420" w:type="dxa"/>
            <w:vAlign w:val="bottom"/>
          </w:tcPr>
          <w:p>
            <w:pPr>
              <w:ind w:left="1120"/>
              <w:spacing w:after="0"/>
              <w:rPr>
                <w:sz w:val="20"/>
                <w:szCs w:val="20"/>
                <w:color w:val="auto"/>
              </w:rPr>
            </w:pPr>
            <w:r>
              <w:rPr>
                <w:rFonts w:ascii="Times New Roman" w:cs="Times New Roman" w:eastAsia="Times New Roman" w:hAnsi="Times New Roman"/>
                <w:sz w:val="15"/>
                <w:szCs w:val="15"/>
                <w:color w:val="auto"/>
              </w:rPr>
              <w:t>Montana</w:t>
            </w:r>
          </w:p>
        </w:tc>
        <w:tc>
          <w:tcPr>
            <w:tcW w:w="4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2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Coastal Bend Medical Park, LLC</w:t>
            </w:r>
          </w:p>
        </w:tc>
        <w:tc>
          <w:tcPr>
            <w:tcW w:w="2420" w:type="dxa"/>
            <w:vAlign w:val="bottom"/>
          </w:tcPr>
          <w:p>
            <w:pPr>
              <w:ind w:left="1120"/>
              <w:spacing w:after="0"/>
              <w:rPr>
                <w:sz w:val="20"/>
                <w:szCs w:val="20"/>
                <w:color w:val="auto"/>
              </w:rPr>
            </w:pPr>
            <w:r>
              <w:rPr>
                <w:rFonts w:ascii="Times New Roman" w:cs="Times New Roman" w:eastAsia="Times New Roman" w:hAnsi="Times New Roman"/>
                <w:sz w:val="15"/>
                <w:szCs w:val="15"/>
                <w:color w:val="auto"/>
              </w:rPr>
              <w:t>Texas</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2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Coastal Bend Surgery Center, Ltd</w:t>
            </w:r>
          </w:p>
        </w:tc>
        <w:tc>
          <w:tcPr>
            <w:tcW w:w="2420" w:type="dxa"/>
            <w:vAlign w:val="bottom"/>
          </w:tcPr>
          <w:p>
            <w:pPr>
              <w:ind w:left="1120"/>
              <w:spacing w:after="0"/>
              <w:rPr>
                <w:sz w:val="20"/>
                <w:szCs w:val="20"/>
                <w:color w:val="auto"/>
              </w:rPr>
            </w:pPr>
            <w:r>
              <w:rPr>
                <w:rFonts w:ascii="Times New Roman" w:cs="Times New Roman" w:eastAsia="Times New Roman" w:hAnsi="Times New Roman"/>
                <w:sz w:val="15"/>
                <w:szCs w:val="15"/>
                <w:color w:val="auto"/>
              </w:rPr>
              <w:t>Texas</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2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Cold Springs Medical Surgical Group, LLC</w:t>
            </w:r>
          </w:p>
        </w:tc>
        <w:tc>
          <w:tcPr>
            <w:tcW w:w="2420" w:type="dxa"/>
            <w:vAlign w:val="bottom"/>
          </w:tcPr>
          <w:p>
            <w:pPr>
              <w:ind w:left="1120"/>
              <w:spacing w:after="0"/>
              <w:rPr>
                <w:sz w:val="20"/>
                <w:szCs w:val="20"/>
                <w:color w:val="auto"/>
              </w:rPr>
            </w:pPr>
            <w:r>
              <w:rPr>
                <w:rFonts w:ascii="Times New Roman" w:cs="Times New Roman" w:eastAsia="Times New Roman" w:hAnsi="Times New Roman"/>
                <w:sz w:val="15"/>
                <w:szCs w:val="15"/>
                <w:color w:val="auto"/>
              </w:rPr>
              <w:t>California</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2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Community Care Channing Way, LLC</w:t>
            </w:r>
          </w:p>
        </w:tc>
        <w:tc>
          <w:tcPr>
            <w:tcW w:w="2420" w:type="dxa"/>
            <w:vAlign w:val="bottom"/>
          </w:tcPr>
          <w:p>
            <w:pPr>
              <w:ind w:left="1120"/>
              <w:spacing w:after="0"/>
              <w:rPr>
                <w:sz w:val="20"/>
                <w:szCs w:val="20"/>
                <w:color w:val="auto"/>
              </w:rPr>
            </w:pPr>
            <w:r>
              <w:rPr>
                <w:rFonts w:ascii="Times New Roman" w:cs="Times New Roman" w:eastAsia="Times New Roman" w:hAnsi="Times New Roman"/>
                <w:sz w:val="15"/>
                <w:szCs w:val="15"/>
                <w:color w:val="auto"/>
              </w:rPr>
              <w:t>Delaware</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2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Community Care Rexburg, LLC</w:t>
            </w:r>
          </w:p>
        </w:tc>
        <w:tc>
          <w:tcPr>
            <w:tcW w:w="2420" w:type="dxa"/>
            <w:vAlign w:val="bottom"/>
          </w:tcPr>
          <w:p>
            <w:pPr>
              <w:ind w:left="1120"/>
              <w:spacing w:after="0"/>
              <w:rPr>
                <w:sz w:val="20"/>
                <w:szCs w:val="20"/>
                <w:color w:val="auto"/>
              </w:rPr>
            </w:pPr>
            <w:r>
              <w:rPr>
                <w:rFonts w:ascii="Times New Roman" w:cs="Times New Roman" w:eastAsia="Times New Roman" w:hAnsi="Times New Roman"/>
                <w:sz w:val="15"/>
                <w:szCs w:val="15"/>
                <w:color w:val="auto"/>
              </w:rPr>
              <w:t>Delaware</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2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Community Care West Side, LLC</w:t>
            </w:r>
          </w:p>
        </w:tc>
        <w:tc>
          <w:tcPr>
            <w:tcW w:w="2420" w:type="dxa"/>
            <w:vAlign w:val="bottom"/>
          </w:tcPr>
          <w:p>
            <w:pPr>
              <w:ind w:left="1120"/>
              <w:spacing w:after="0"/>
              <w:rPr>
                <w:sz w:val="20"/>
                <w:szCs w:val="20"/>
                <w:color w:val="auto"/>
              </w:rPr>
            </w:pPr>
            <w:r>
              <w:rPr>
                <w:rFonts w:ascii="Times New Roman" w:cs="Times New Roman" w:eastAsia="Times New Roman" w:hAnsi="Times New Roman"/>
                <w:sz w:val="15"/>
                <w:szCs w:val="15"/>
                <w:color w:val="auto"/>
              </w:rPr>
              <w:t>Delaware</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2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Community Hospital Holding Company, LLC</w:t>
            </w:r>
          </w:p>
        </w:tc>
        <w:tc>
          <w:tcPr>
            <w:tcW w:w="2420" w:type="dxa"/>
            <w:vAlign w:val="bottom"/>
          </w:tcPr>
          <w:p>
            <w:pPr>
              <w:ind w:left="1120"/>
              <w:spacing w:after="0"/>
              <w:rPr>
                <w:sz w:val="20"/>
                <w:szCs w:val="20"/>
                <w:color w:val="auto"/>
              </w:rPr>
            </w:pPr>
            <w:r>
              <w:rPr>
                <w:rFonts w:ascii="Times New Roman" w:cs="Times New Roman" w:eastAsia="Times New Roman" w:hAnsi="Times New Roman"/>
                <w:sz w:val="15"/>
                <w:szCs w:val="15"/>
                <w:color w:val="auto"/>
              </w:rPr>
              <w:t>Georgia</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2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Community Hospital Management Company, LLC</w:t>
            </w:r>
          </w:p>
        </w:tc>
        <w:tc>
          <w:tcPr>
            <w:tcW w:w="2420" w:type="dxa"/>
            <w:vAlign w:val="bottom"/>
          </w:tcPr>
          <w:p>
            <w:pPr>
              <w:ind w:left="1120"/>
              <w:spacing w:after="0"/>
              <w:rPr>
                <w:sz w:val="20"/>
                <w:szCs w:val="20"/>
                <w:color w:val="auto"/>
              </w:rPr>
            </w:pPr>
            <w:r>
              <w:rPr>
                <w:rFonts w:ascii="Times New Roman" w:cs="Times New Roman" w:eastAsia="Times New Roman" w:hAnsi="Times New Roman"/>
                <w:sz w:val="15"/>
                <w:szCs w:val="15"/>
                <w:color w:val="auto"/>
              </w:rPr>
              <w:t>Georgia</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2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Coppel Surgical Solutions, LLC</w:t>
            </w:r>
          </w:p>
        </w:tc>
        <w:tc>
          <w:tcPr>
            <w:tcW w:w="2420" w:type="dxa"/>
            <w:vAlign w:val="bottom"/>
          </w:tcPr>
          <w:p>
            <w:pPr>
              <w:ind w:left="1120"/>
              <w:spacing w:after="0"/>
              <w:rPr>
                <w:sz w:val="20"/>
                <w:szCs w:val="20"/>
                <w:color w:val="auto"/>
              </w:rPr>
            </w:pPr>
            <w:r>
              <w:rPr>
                <w:rFonts w:ascii="Times New Roman" w:cs="Times New Roman" w:eastAsia="Times New Roman" w:hAnsi="Times New Roman"/>
                <w:sz w:val="15"/>
                <w:szCs w:val="15"/>
                <w:color w:val="auto"/>
              </w:rPr>
              <w:t>Nevada</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2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Corpus Christi CBSC GP, Inc.</w:t>
            </w:r>
          </w:p>
        </w:tc>
        <w:tc>
          <w:tcPr>
            <w:tcW w:w="2420" w:type="dxa"/>
            <w:vAlign w:val="bottom"/>
          </w:tcPr>
          <w:p>
            <w:pPr>
              <w:ind w:left="1120"/>
              <w:spacing w:after="0"/>
              <w:rPr>
                <w:sz w:val="20"/>
                <w:szCs w:val="20"/>
                <w:color w:val="auto"/>
              </w:rPr>
            </w:pPr>
            <w:r>
              <w:rPr>
                <w:rFonts w:ascii="Times New Roman" w:cs="Times New Roman" w:eastAsia="Times New Roman" w:hAnsi="Times New Roman"/>
                <w:sz w:val="15"/>
                <w:szCs w:val="15"/>
                <w:color w:val="auto"/>
              </w:rPr>
              <w:t>Texas</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2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Crescent View Surgery Center, LLC</w:t>
            </w:r>
          </w:p>
        </w:tc>
        <w:tc>
          <w:tcPr>
            <w:tcW w:w="2420" w:type="dxa"/>
            <w:vAlign w:val="bottom"/>
          </w:tcPr>
          <w:p>
            <w:pPr>
              <w:ind w:left="1120"/>
              <w:spacing w:after="0"/>
              <w:rPr>
                <w:sz w:val="20"/>
                <w:szCs w:val="20"/>
                <w:color w:val="auto"/>
              </w:rPr>
            </w:pPr>
            <w:r>
              <w:rPr>
                <w:rFonts w:ascii="Times New Roman" w:cs="Times New Roman" w:eastAsia="Times New Roman" w:hAnsi="Times New Roman"/>
                <w:sz w:val="15"/>
                <w:szCs w:val="15"/>
                <w:color w:val="auto"/>
              </w:rPr>
              <w:t>Louisiana</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2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Cypress Surgery Center, LLC</w:t>
            </w:r>
          </w:p>
        </w:tc>
        <w:tc>
          <w:tcPr>
            <w:tcW w:w="2420" w:type="dxa"/>
            <w:vAlign w:val="bottom"/>
          </w:tcPr>
          <w:p>
            <w:pPr>
              <w:ind w:left="1120"/>
              <w:spacing w:after="0"/>
              <w:rPr>
                <w:sz w:val="20"/>
                <w:szCs w:val="20"/>
                <w:color w:val="auto"/>
              </w:rPr>
            </w:pPr>
            <w:r>
              <w:rPr>
                <w:rFonts w:ascii="Times New Roman" w:cs="Times New Roman" w:eastAsia="Times New Roman" w:hAnsi="Times New Roman"/>
                <w:sz w:val="15"/>
                <w:szCs w:val="15"/>
                <w:color w:val="auto"/>
              </w:rPr>
              <w:t>Delaware</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2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Delaware Outpatient Center for Surgery, LLC</w:t>
            </w:r>
          </w:p>
        </w:tc>
        <w:tc>
          <w:tcPr>
            <w:tcW w:w="2420" w:type="dxa"/>
            <w:vAlign w:val="bottom"/>
          </w:tcPr>
          <w:p>
            <w:pPr>
              <w:ind w:left="1120"/>
              <w:spacing w:after="0"/>
              <w:rPr>
                <w:sz w:val="20"/>
                <w:szCs w:val="20"/>
                <w:color w:val="auto"/>
              </w:rPr>
            </w:pPr>
            <w:r>
              <w:rPr>
                <w:rFonts w:ascii="Times New Roman" w:cs="Times New Roman" w:eastAsia="Times New Roman" w:hAnsi="Times New Roman"/>
                <w:sz w:val="15"/>
                <w:szCs w:val="15"/>
                <w:color w:val="auto"/>
              </w:rPr>
              <w:t>Delaware</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2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DMG Surgical Center, LLC</w:t>
            </w:r>
          </w:p>
        </w:tc>
        <w:tc>
          <w:tcPr>
            <w:tcW w:w="2420" w:type="dxa"/>
            <w:vAlign w:val="bottom"/>
          </w:tcPr>
          <w:p>
            <w:pPr>
              <w:ind w:left="1120"/>
              <w:spacing w:after="0"/>
              <w:rPr>
                <w:sz w:val="20"/>
                <w:szCs w:val="20"/>
                <w:color w:val="auto"/>
              </w:rPr>
            </w:pPr>
            <w:r>
              <w:rPr>
                <w:rFonts w:ascii="Times New Roman" w:cs="Times New Roman" w:eastAsia="Times New Roman" w:hAnsi="Times New Roman"/>
                <w:sz w:val="15"/>
                <w:szCs w:val="15"/>
                <w:color w:val="auto"/>
              </w:rPr>
              <w:t>Illinois</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2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Durango Surgery Center, LLC</w:t>
            </w:r>
          </w:p>
        </w:tc>
        <w:tc>
          <w:tcPr>
            <w:tcW w:w="2420" w:type="dxa"/>
            <w:vAlign w:val="bottom"/>
          </w:tcPr>
          <w:p>
            <w:pPr>
              <w:ind w:left="1120"/>
              <w:spacing w:after="0"/>
              <w:rPr>
                <w:sz w:val="20"/>
                <w:szCs w:val="20"/>
                <w:color w:val="auto"/>
              </w:rPr>
            </w:pPr>
            <w:r>
              <w:rPr>
                <w:rFonts w:ascii="Times New Roman" w:cs="Times New Roman" w:eastAsia="Times New Roman" w:hAnsi="Times New Roman"/>
                <w:sz w:val="15"/>
                <w:szCs w:val="15"/>
                <w:color w:val="auto"/>
              </w:rPr>
              <w:t>Colorado</w:t>
            </w:r>
          </w:p>
        </w:tc>
        <w:tc>
          <w:tcPr>
            <w:tcW w:w="452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Animas Surgical Center at Escalante</w:t>
            </w:r>
          </w:p>
        </w:tc>
        <w:tc>
          <w:tcPr>
            <w:tcW w:w="0" w:type="dxa"/>
            <w:vAlign w:val="bottom"/>
          </w:tcPr>
          <w:p>
            <w:pPr>
              <w:spacing w:after="0"/>
              <w:rPr>
                <w:sz w:val="1"/>
                <w:szCs w:val="1"/>
                <w:color w:val="auto"/>
              </w:rPr>
            </w:pPr>
          </w:p>
        </w:tc>
      </w:tr>
      <w:tr>
        <w:trPr>
          <w:trHeight w:val="206"/>
        </w:trPr>
        <w:tc>
          <w:tcPr>
            <w:tcW w:w="42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Eagle Rock Anesthesia, LLC</w:t>
            </w:r>
          </w:p>
        </w:tc>
        <w:tc>
          <w:tcPr>
            <w:tcW w:w="2420" w:type="dxa"/>
            <w:vAlign w:val="bottom"/>
          </w:tcPr>
          <w:p>
            <w:pPr>
              <w:ind w:left="1120"/>
              <w:spacing w:after="0"/>
              <w:rPr>
                <w:sz w:val="20"/>
                <w:szCs w:val="20"/>
                <w:color w:val="auto"/>
              </w:rPr>
            </w:pPr>
            <w:r>
              <w:rPr>
                <w:rFonts w:ascii="Times New Roman" w:cs="Times New Roman" w:eastAsia="Times New Roman" w:hAnsi="Times New Roman"/>
                <w:sz w:val="15"/>
                <w:szCs w:val="15"/>
                <w:color w:val="auto"/>
              </w:rPr>
              <w:t>Idaho</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2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Eastside Alliance Medical Associates, P.C.</w:t>
            </w:r>
          </w:p>
        </w:tc>
        <w:tc>
          <w:tcPr>
            <w:tcW w:w="2420" w:type="dxa"/>
            <w:vAlign w:val="bottom"/>
          </w:tcPr>
          <w:p>
            <w:pPr>
              <w:ind w:left="1120"/>
              <w:spacing w:after="0"/>
              <w:rPr>
                <w:sz w:val="20"/>
                <w:szCs w:val="20"/>
                <w:color w:val="auto"/>
              </w:rPr>
            </w:pPr>
            <w:r>
              <w:rPr>
                <w:rFonts w:ascii="Times New Roman" w:cs="Times New Roman" w:eastAsia="Times New Roman" w:hAnsi="Times New Roman"/>
                <w:sz w:val="15"/>
                <w:szCs w:val="15"/>
                <w:color w:val="auto"/>
              </w:rPr>
              <w:t>New York</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2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Eastside Alliance Support Services, LLC</w:t>
            </w:r>
          </w:p>
        </w:tc>
        <w:tc>
          <w:tcPr>
            <w:tcW w:w="2420" w:type="dxa"/>
            <w:vAlign w:val="bottom"/>
          </w:tcPr>
          <w:p>
            <w:pPr>
              <w:ind w:left="1120"/>
              <w:spacing w:after="0"/>
              <w:rPr>
                <w:sz w:val="20"/>
                <w:szCs w:val="20"/>
                <w:color w:val="auto"/>
              </w:rPr>
            </w:pPr>
            <w:r>
              <w:rPr>
                <w:rFonts w:ascii="Times New Roman" w:cs="Times New Roman" w:eastAsia="Times New Roman" w:hAnsi="Times New Roman"/>
                <w:sz w:val="15"/>
                <w:szCs w:val="15"/>
                <w:color w:val="auto"/>
              </w:rPr>
              <w:t>Delaware</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2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El Paso Specialty Hospital, Ltd</w:t>
            </w:r>
          </w:p>
        </w:tc>
        <w:tc>
          <w:tcPr>
            <w:tcW w:w="2420" w:type="dxa"/>
            <w:vAlign w:val="bottom"/>
          </w:tcPr>
          <w:p>
            <w:pPr>
              <w:ind w:left="1120"/>
              <w:spacing w:after="0"/>
              <w:rPr>
                <w:sz w:val="20"/>
                <w:szCs w:val="20"/>
                <w:color w:val="auto"/>
              </w:rPr>
            </w:pPr>
            <w:r>
              <w:rPr>
                <w:rFonts w:ascii="Times New Roman" w:cs="Times New Roman" w:eastAsia="Times New Roman" w:hAnsi="Times New Roman"/>
                <w:sz w:val="15"/>
                <w:szCs w:val="15"/>
                <w:color w:val="auto"/>
              </w:rPr>
              <w:t>Texas</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2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El Paso Specialty Physicians Group</w:t>
            </w:r>
          </w:p>
        </w:tc>
        <w:tc>
          <w:tcPr>
            <w:tcW w:w="2420" w:type="dxa"/>
            <w:vAlign w:val="bottom"/>
          </w:tcPr>
          <w:p>
            <w:pPr>
              <w:ind w:left="1120"/>
              <w:spacing w:after="0"/>
              <w:rPr>
                <w:sz w:val="20"/>
                <w:szCs w:val="20"/>
                <w:color w:val="auto"/>
              </w:rPr>
            </w:pPr>
            <w:r>
              <w:rPr>
                <w:rFonts w:ascii="Times New Roman" w:cs="Times New Roman" w:eastAsia="Times New Roman" w:hAnsi="Times New Roman"/>
                <w:sz w:val="15"/>
                <w:szCs w:val="15"/>
                <w:color w:val="auto"/>
              </w:rPr>
              <w:t>Texas</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2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Eye Surgical Center of San Francisco, LLC</w:t>
            </w:r>
          </w:p>
        </w:tc>
        <w:tc>
          <w:tcPr>
            <w:tcW w:w="2420" w:type="dxa"/>
            <w:vAlign w:val="bottom"/>
          </w:tcPr>
          <w:p>
            <w:pPr>
              <w:ind w:left="1120"/>
              <w:spacing w:after="0"/>
              <w:rPr>
                <w:sz w:val="20"/>
                <w:szCs w:val="20"/>
                <w:color w:val="auto"/>
              </w:rPr>
            </w:pPr>
            <w:r>
              <w:rPr>
                <w:rFonts w:ascii="Times New Roman" w:cs="Times New Roman" w:eastAsia="Times New Roman" w:hAnsi="Times New Roman"/>
                <w:sz w:val="15"/>
                <w:szCs w:val="15"/>
                <w:color w:val="auto"/>
              </w:rPr>
              <w:t>California</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2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Flagler Surgery Center, LLC</w:t>
            </w:r>
          </w:p>
        </w:tc>
        <w:tc>
          <w:tcPr>
            <w:tcW w:w="2420" w:type="dxa"/>
            <w:vAlign w:val="bottom"/>
          </w:tcPr>
          <w:p>
            <w:pPr>
              <w:ind w:left="1120"/>
              <w:spacing w:after="0"/>
              <w:rPr>
                <w:sz w:val="20"/>
                <w:szCs w:val="20"/>
                <w:color w:val="auto"/>
              </w:rPr>
            </w:pPr>
            <w:r>
              <w:rPr>
                <w:rFonts w:ascii="Times New Roman" w:cs="Times New Roman" w:eastAsia="Times New Roman" w:hAnsi="Times New Roman"/>
                <w:sz w:val="15"/>
                <w:szCs w:val="15"/>
                <w:color w:val="auto"/>
              </w:rPr>
              <w:t>Florida</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2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Forest Ambulatory Surgical Associates, LLC</w:t>
            </w:r>
          </w:p>
        </w:tc>
        <w:tc>
          <w:tcPr>
            <w:tcW w:w="2420" w:type="dxa"/>
            <w:vAlign w:val="bottom"/>
          </w:tcPr>
          <w:p>
            <w:pPr>
              <w:ind w:left="1120"/>
              <w:spacing w:after="0"/>
              <w:rPr>
                <w:sz w:val="20"/>
                <w:szCs w:val="20"/>
                <w:color w:val="auto"/>
              </w:rPr>
            </w:pPr>
            <w:r>
              <w:rPr>
                <w:rFonts w:ascii="Times New Roman" w:cs="Times New Roman" w:eastAsia="Times New Roman" w:hAnsi="Times New Roman"/>
                <w:sz w:val="15"/>
                <w:szCs w:val="15"/>
                <w:color w:val="auto"/>
              </w:rPr>
              <w:t>California</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2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Gainesville Eye Physicians, P.A.</w:t>
            </w:r>
          </w:p>
        </w:tc>
        <w:tc>
          <w:tcPr>
            <w:tcW w:w="2420" w:type="dxa"/>
            <w:vAlign w:val="bottom"/>
          </w:tcPr>
          <w:p>
            <w:pPr>
              <w:ind w:left="1120"/>
              <w:spacing w:after="0"/>
              <w:rPr>
                <w:sz w:val="20"/>
                <w:szCs w:val="20"/>
                <w:color w:val="auto"/>
              </w:rPr>
            </w:pPr>
            <w:r>
              <w:rPr>
                <w:rFonts w:ascii="Times New Roman" w:cs="Times New Roman" w:eastAsia="Times New Roman" w:hAnsi="Times New Roman"/>
                <w:sz w:val="15"/>
                <w:szCs w:val="15"/>
                <w:color w:val="auto"/>
              </w:rPr>
              <w:t>Delaware</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2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Gastro Operating Company, LLC</w:t>
            </w:r>
          </w:p>
        </w:tc>
        <w:tc>
          <w:tcPr>
            <w:tcW w:w="2420" w:type="dxa"/>
            <w:vAlign w:val="bottom"/>
          </w:tcPr>
          <w:p>
            <w:pPr>
              <w:ind w:left="1120"/>
              <w:spacing w:after="0"/>
              <w:rPr>
                <w:sz w:val="20"/>
                <w:szCs w:val="20"/>
                <w:color w:val="auto"/>
              </w:rPr>
            </w:pPr>
            <w:r>
              <w:rPr>
                <w:rFonts w:ascii="Times New Roman" w:cs="Times New Roman" w:eastAsia="Times New Roman" w:hAnsi="Times New Roman"/>
                <w:sz w:val="15"/>
                <w:szCs w:val="15"/>
                <w:color w:val="auto"/>
              </w:rPr>
              <w:t>New York</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2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Georgia Bone &amp; Joint, LLC</w:t>
            </w:r>
          </w:p>
        </w:tc>
        <w:tc>
          <w:tcPr>
            <w:tcW w:w="2420" w:type="dxa"/>
            <w:vAlign w:val="bottom"/>
          </w:tcPr>
          <w:p>
            <w:pPr>
              <w:ind w:left="1120"/>
              <w:spacing w:after="0"/>
              <w:rPr>
                <w:sz w:val="20"/>
                <w:szCs w:val="20"/>
                <w:color w:val="auto"/>
              </w:rPr>
            </w:pPr>
            <w:r>
              <w:rPr>
                <w:rFonts w:ascii="Times New Roman" w:cs="Times New Roman" w:eastAsia="Times New Roman" w:hAnsi="Times New Roman"/>
                <w:sz w:val="15"/>
                <w:szCs w:val="15"/>
                <w:color w:val="auto"/>
              </w:rPr>
              <w:t>Georgia</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2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Gold Coast Surgery Center, LLC</w:t>
            </w:r>
          </w:p>
        </w:tc>
        <w:tc>
          <w:tcPr>
            <w:tcW w:w="2420" w:type="dxa"/>
            <w:vAlign w:val="bottom"/>
          </w:tcPr>
          <w:p>
            <w:pPr>
              <w:ind w:left="1120"/>
              <w:spacing w:after="0"/>
              <w:rPr>
                <w:sz w:val="20"/>
                <w:szCs w:val="20"/>
                <w:color w:val="auto"/>
              </w:rPr>
            </w:pPr>
            <w:r>
              <w:rPr>
                <w:rFonts w:ascii="Times New Roman" w:cs="Times New Roman" w:eastAsia="Times New Roman" w:hAnsi="Times New Roman"/>
                <w:sz w:val="15"/>
                <w:szCs w:val="15"/>
                <w:color w:val="auto"/>
              </w:rPr>
              <w:t>California</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2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Gold Coast Surgicenter, LLC</w:t>
            </w:r>
          </w:p>
        </w:tc>
        <w:tc>
          <w:tcPr>
            <w:tcW w:w="2420" w:type="dxa"/>
            <w:vAlign w:val="bottom"/>
          </w:tcPr>
          <w:p>
            <w:pPr>
              <w:ind w:left="1120"/>
              <w:spacing w:after="0"/>
              <w:rPr>
                <w:sz w:val="20"/>
                <w:szCs w:val="20"/>
                <w:color w:val="auto"/>
              </w:rPr>
            </w:pPr>
            <w:r>
              <w:rPr>
                <w:rFonts w:ascii="Times New Roman" w:cs="Times New Roman" w:eastAsia="Times New Roman" w:hAnsi="Times New Roman"/>
                <w:sz w:val="15"/>
                <w:szCs w:val="15"/>
                <w:color w:val="auto"/>
              </w:rPr>
              <w:t>Illinois</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2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GPDDC, LLC</w:t>
            </w:r>
          </w:p>
        </w:tc>
        <w:tc>
          <w:tcPr>
            <w:tcW w:w="2420" w:type="dxa"/>
            <w:vAlign w:val="bottom"/>
          </w:tcPr>
          <w:p>
            <w:pPr>
              <w:ind w:left="1120"/>
              <w:spacing w:after="0"/>
              <w:rPr>
                <w:sz w:val="20"/>
                <w:szCs w:val="20"/>
                <w:color w:val="auto"/>
              </w:rPr>
            </w:pPr>
            <w:r>
              <w:rPr>
                <w:rFonts w:ascii="Times New Roman" w:cs="Times New Roman" w:eastAsia="Times New Roman" w:hAnsi="Times New Roman"/>
                <w:sz w:val="15"/>
                <w:szCs w:val="15"/>
                <w:color w:val="auto"/>
              </w:rPr>
              <w:t>New York</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2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Gramercy Park Administrative Services, LLC</w:t>
            </w:r>
          </w:p>
        </w:tc>
        <w:tc>
          <w:tcPr>
            <w:tcW w:w="2420" w:type="dxa"/>
            <w:vAlign w:val="bottom"/>
          </w:tcPr>
          <w:p>
            <w:pPr>
              <w:ind w:left="1120"/>
              <w:spacing w:after="0"/>
              <w:rPr>
                <w:sz w:val="20"/>
                <w:szCs w:val="20"/>
                <w:color w:val="auto"/>
              </w:rPr>
            </w:pPr>
            <w:r>
              <w:rPr>
                <w:rFonts w:ascii="Times New Roman" w:cs="Times New Roman" w:eastAsia="Times New Roman" w:hAnsi="Times New Roman"/>
                <w:sz w:val="15"/>
                <w:szCs w:val="15"/>
                <w:color w:val="auto"/>
              </w:rPr>
              <w:t>Delaware</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2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Grand Teton Research Group, PLLC</w:t>
            </w:r>
          </w:p>
        </w:tc>
        <w:tc>
          <w:tcPr>
            <w:tcW w:w="2420" w:type="dxa"/>
            <w:vAlign w:val="bottom"/>
          </w:tcPr>
          <w:p>
            <w:pPr>
              <w:ind w:left="1120"/>
              <w:spacing w:after="0"/>
              <w:rPr>
                <w:sz w:val="20"/>
                <w:szCs w:val="20"/>
                <w:color w:val="auto"/>
              </w:rPr>
            </w:pPr>
            <w:r>
              <w:rPr>
                <w:rFonts w:ascii="Times New Roman" w:cs="Times New Roman" w:eastAsia="Times New Roman" w:hAnsi="Times New Roman"/>
                <w:sz w:val="15"/>
                <w:szCs w:val="15"/>
                <w:color w:val="auto"/>
              </w:rPr>
              <w:t>Idaho</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2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Grand Teton Surgical Center, LLC</w:t>
            </w:r>
          </w:p>
        </w:tc>
        <w:tc>
          <w:tcPr>
            <w:tcW w:w="2420" w:type="dxa"/>
            <w:vAlign w:val="bottom"/>
          </w:tcPr>
          <w:p>
            <w:pPr>
              <w:ind w:left="1120"/>
              <w:spacing w:after="0"/>
              <w:rPr>
                <w:sz w:val="20"/>
                <w:szCs w:val="20"/>
                <w:color w:val="auto"/>
              </w:rPr>
            </w:pPr>
            <w:r>
              <w:rPr>
                <w:rFonts w:ascii="Times New Roman" w:cs="Times New Roman" w:eastAsia="Times New Roman" w:hAnsi="Times New Roman"/>
                <w:sz w:val="15"/>
                <w:szCs w:val="15"/>
                <w:color w:val="auto"/>
              </w:rPr>
              <w:t>Idaho</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2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Great Falls Clinic, LLC</w:t>
            </w:r>
          </w:p>
        </w:tc>
        <w:tc>
          <w:tcPr>
            <w:tcW w:w="2420" w:type="dxa"/>
            <w:vAlign w:val="bottom"/>
          </w:tcPr>
          <w:p>
            <w:pPr>
              <w:ind w:left="1120"/>
              <w:spacing w:after="0"/>
              <w:rPr>
                <w:sz w:val="20"/>
                <w:szCs w:val="20"/>
                <w:color w:val="auto"/>
              </w:rPr>
            </w:pPr>
            <w:r>
              <w:rPr>
                <w:rFonts w:ascii="Times New Roman" w:cs="Times New Roman" w:eastAsia="Times New Roman" w:hAnsi="Times New Roman"/>
                <w:sz w:val="15"/>
                <w:szCs w:val="15"/>
                <w:color w:val="auto"/>
              </w:rPr>
              <w:t>Montana</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2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Great Falls Clinic Surgery Center, L.L.C.</w:t>
            </w:r>
          </w:p>
        </w:tc>
        <w:tc>
          <w:tcPr>
            <w:tcW w:w="2420" w:type="dxa"/>
            <w:vAlign w:val="bottom"/>
          </w:tcPr>
          <w:p>
            <w:pPr>
              <w:ind w:left="1120"/>
              <w:spacing w:after="0"/>
              <w:rPr>
                <w:sz w:val="20"/>
                <w:szCs w:val="20"/>
                <w:color w:val="auto"/>
              </w:rPr>
            </w:pPr>
            <w:r>
              <w:rPr>
                <w:rFonts w:ascii="Times New Roman" w:cs="Times New Roman" w:eastAsia="Times New Roman" w:hAnsi="Times New Roman"/>
                <w:sz w:val="15"/>
                <w:szCs w:val="15"/>
                <w:color w:val="auto"/>
              </w:rPr>
              <w:t>Montana</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2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Great Lakes Anesthesia &amp; Pain Specialists, S.C.</w:t>
            </w:r>
          </w:p>
        </w:tc>
        <w:tc>
          <w:tcPr>
            <w:tcW w:w="2420" w:type="dxa"/>
            <w:vAlign w:val="bottom"/>
          </w:tcPr>
          <w:p>
            <w:pPr>
              <w:ind w:left="1120"/>
              <w:spacing w:after="0"/>
              <w:rPr>
                <w:sz w:val="20"/>
                <w:szCs w:val="20"/>
                <w:color w:val="auto"/>
              </w:rPr>
            </w:pPr>
            <w:r>
              <w:rPr>
                <w:rFonts w:ascii="Times New Roman" w:cs="Times New Roman" w:eastAsia="Times New Roman" w:hAnsi="Times New Roman"/>
                <w:sz w:val="15"/>
                <w:szCs w:val="15"/>
                <w:color w:val="auto"/>
              </w:rPr>
              <w:t>Wisconsin</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2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Heritage Eye Center, LC</w:t>
            </w:r>
          </w:p>
        </w:tc>
        <w:tc>
          <w:tcPr>
            <w:tcW w:w="2420" w:type="dxa"/>
            <w:vAlign w:val="bottom"/>
          </w:tcPr>
          <w:p>
            <w:pPr>
              <w:ind w:left="1120"/>
              <w:spacing w:after="0"/>
              <w:rPr>
                <w:sz w:val="20"/>
                <w:szCs w:val="20"/>
                <w:color w:val="auto"/>
              </w:rPr>
            </w:pPr>
            <w:r>
              <w:rPr>
                <w:rFonts w:ascii="Times New Roman" w:cs="Times New Roman" w:eastAsia="Times New Roman" w:hAnsi="Times New Roman"/>
                <w:sz w:val="15"/>
                <w:szCs w:val="15"/>
                <w:color w:val="auto"/>
              </w:rPr>
              <w:t>Texas</w:t>
            </w:r>
          </w:p>
        </w:tc>
        <w:tc>
          <w:tcPr>
            <w:tcW w:w="452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Heritage Surgery Center</w:t>
            </w:r>
          </w:p>
        </w:tc>
        <w:tc>
          <w:tcPr>
            <w:tcW w:w="0" w:type="dxa"/>
            <w:vAlign w:val="bottom"/>
          </w:tcPr>
          <w:p>
            <w:pPr>
              <w:spacing w:after="0"/>
              <w:rPr>
                <w:sz w:val="1"/>
                <w:szCs w:val="1"/>
                <w:color w:val="auto"/>
              </w:rPr>
            </w:pPr>
          </w:p>
        </w:tc>
      </w:tr>
      <w:tr>
        <w:trPr>
          <w:trHeight w:val="206"/>
        </w:trPr>
        <w:tc>
          <w:tcPr>
            <w:tcW w:w="42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Hualapai Ambulatory Surgery Center, LLC</w:t>
            </w:r>
          </w:p>
        </w:tc>
        <w:tc>
          <w:tcPr>
            <w:tcW w:w="2420" w:type="dxa"/>
            <w:vAlign w:val="bottom"/>
          </w:tcPr>
          <w:p>
            <w:pPr>
              <w:ind w:left="1120"/>
              <w:spacing w:after="0"/>
              <w:rPr>
                <w:sz w:val="20"/>
                <w:szCs w:val="20"/>
                <w:color w:val="auto"/>
              </w:rPr>
            </w:pPr>
            <w:r>
              <w:rPr>
                <w:rFonts w:ascii="Times New Roman" w:cs="Times New Roman" w:eastAsia="Times New Roman" w:hAnsi="Times New Roman"/>
                <w:sz w:val="15"/>
                <w:szCs w:val="15"/>
                <w:color w:val="auto"/>
              </w:rPr>
              <w:t>Delaware</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2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Humble Vascular Surgical Center, LLC</w:t>
            </w:r>
          </w:p>
        </w:tc>
        <w:tc>
          <w:tcPr>
            <w:tcW w:w="2420" w:type="dxa"/>
            <w:vAlign w:val="bottom"/>
          </w:tcPr>
          <w:p>
            <w:pPr>
              <w:ind w:left="1120"/>
              <w:spacing w:after="0"/>
              <w:rPr>
                <w:sz w:val="20"/>
                <w:szCs w:val="20"/>
                <w:color w:val="auto"/>
              </w:rPr>
            </w:pPr>
            <w:r>
              <w:rPr>
                <w:rFonts w:ascii="Times New Roman" w:cs="Times New Roman" w:eastAsia="Times New Roman" w:hAnsi="Times New Roman"/>
                <w:sz w:val="15"/>
                <w:szCs w:val="15"/>
                <w:color w:val="auto"/>
              </w:rPr>
              <w:t>Texas</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2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Idaho Falls ASC, LLC</w:t>
            </w:r>
          </w:p>
        </w:tc>
        <w:tc>
          <w:tcPr>
            <w:tcW w:w="2420" w:type="dxa"/>
            <w:vAlign w:val="bottom"/>
          </w:tcPr>
          <w:p>
            <w:pPr>
              <w:ind w:left="1120"/>
              <w:spacing w:after="0"/>
              <w:rPr>
                <w:sz w:val="20"/>
                <w:szCs w:val="20"/>
                <w:color w:val="auto"/>
              </w:rPr>
            </w:pPr>
            <w:r>
              <w:rPr>
                <w:rFonts w:ascii="Times New Roman" w:cs="Times New Roman" w:eastAsia="Times New Roman" w:hAnsi="Times New Roman"/>
                <w:sz w:val="15"/>
                <w:szCs w:val="15"/>
                <w:color w:val="auto"/>
              </w:rPr>
              <w:t>Delaware</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2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Idaho Falls Community Hospital, LLC</w:t>
            </w:r>
          </w:p>
        </w:tc>
        <w:tc>
          <w:tcPr>
            <w:tcW w:w="2420" w:type="dxa"/>
            <w:vAlign w:val="bottom"/>
          </w:tcPr>
          <w:p>
            <w:pPr>
              <w:ind w:left="1120"/>
              <w:spacing w:after="0"/>
              <w:rPr>
                <w:sz w:val="20"/>
                <w:szCs w:val="20"/>
                <w:color w:val="auto"/>
              </w:rPr>
            </w:pPr>
            <w:r>
              <w:rPr>
                <w:rFonts w:ascii="Times New Roman" w:cs="Times New Roman" w:eastAsia="Times New Roman" w:hAnsi="Times New Roman"/>
                <w:sz w:val="15"/>
                <w:szCs w:val="15"/>
                <w:color w:val="auto"/>
              </w:rPr>
              <w:t>Delaware</w:t>
            </w:r>
          </w:p>
        </w:tc>
        <w:tc>
          <w:tcPr>
            <w:tcW w:w="452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Honolulu Sports and Spine Center</w:t>
            </w:r>
          </w:p>
        </w:tc>
        <w:tc>
          <w:tcPr>
            <w:tcW w:w="0" w:type="dxa"/>
            <w:vAlign w:val="bottom"/>
          </w:tcPr>
          <w:p>
            <w:pPr>
              <w:spacing w:after="0"/>
              <w:rPr>
                <w:sz w:val="1"/>
                <w:szCs w:val="1"/>
                <w:color w:val="auto"/>
              </w:rPr>
            </w:pPr>
          </w:p>
        </w:tc>
      </w:tr>
      <w:tr>
        <w:trPr>
          <w:trHeight w:val="206"/>
        </w:trPr>
        <w:tc>
          <w:tcPr>
            <w:tcW w:w="42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Idaho Falls Internal Medicine, LLC</w:t>
            </w:r>
          </w:p>
        </w:tc>
        <w:tc>
          <w:tcPr>
            <w:tcW w:w="2420" w:type="dxa"/>
            <w:vAlign w:val="bottom"/>
          </w:tcPr>
          <w:p>
            <w:pPr>
              <w:ind w:left="1120"/>
              <w:spacing w:after="0"/>
              <w:rPr>
                <w:sz w:val="20"/>
                <w:szCs w:val="20"/>
                <w:color w:val="auto"/>
              </w:rPr>
            </w:pPr>
            <w:r>
              <w:rPr>
                <w:rFonts w:ascii="Times New Roman" w:cs="Times New Roman" w:eastAsia="Times New Roman" w:hAnsi="Times New Roman"/>
                <w:sz w:val="15"/>
                <w:szCs w:val="15"/>
                <w:color w:val="auto"/>
              </w:rPr>
              <w:t>Idaho</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2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IFSC Acquisition, LLC</w:t>
            </w:r>
          </w:p>
        </w:tc>
        <w:tc>
          <w:tcPr>
            <w:tcW w:w="2420" w:type="dxa"/>
            <w:vAlign w:val="bottom"/>
          </w:tcPr>
          <w:p>
            <w:pPr>
              <w:ind w:left="1120"/>
              <w:spacing w:after="0"/>
              <w:rPr>
                <w:sz w:val="20"/>
                <w:szCs w:val="20"/>
                <w:color w:val="auto"/>
              </w:rPr>
            </w:pPr>
            <w:r>
              <w:rPr>
                <w:rFonts w:ascii="Times New Roman" w:cs="Times New Roman" w:eastAsia="Times New Roman" w:hAnsi="Times New Roman"/>
                <w:sz w:val="15"/>
                <w:szCs w:val="15"/>
                <w:color w:val="auto"/>
              </w:rPr>
              <w:t>Delaware</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2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Interventional Spine Center, LLC</w:t>
            </w:r>
          </w:p>
        </w:tc>
        <w:tc>
          <w:tcPr>
            <w:tcW w:w="2420" w:type="dxa"/>
            <w:vAlign w:val="bottom"/>
          </w:tcPr>
          <w:p>
            <w:pPr>
              <w:ind w:left="1120"/>
              <w:spacing w:after="0"/>
              <w:rPr>
                <w:sz w:val="20"/>
                <w:szCs w:val="20"/>
                <w:color w:val="auto"/>
              </w:rPr>
            </w:pPr>
            <w:r>
              <w:rPr>
                <w:rFonts w:ascii="Times New Roman" w:cs="Times New Roman" w:eastAsia="Times New Roman" w:hAnsi="Times New Roman"/>
                <w:sz w:val="15"/>
                <w:szCs w:val="15"/>
                <w:color w:val="auto"/>
              </w:rPr>
              <w:t>California</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2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IPM Surgery Centers, LLC</w:t>
            </w:r>
          </w:p>
        </w:tc>
        <w:tc>
          <w:tcPr>
            <w:tcW w:w="2420" w:type="dxa"/>
            <w:vAlign w:val="bottom"/>
          </w:tcPr>
          <w:p>
            <w:pPr>
              <w:ind w:left="1120"/>
              <w:spacing w:after="0"/>
              <w:rPr>
                <w:sz w:val="20"/>
                <w:szCs w:val="20"/>
                <w:color w:val="auto"/>
              </w:rPr>
            </w:pPr>
            <w:r>
              <w:rPr>
                <w:rFonts w:ascii="Times New Roman" w:cs="Times New Roman" w:eastAsia="Times New Roman" w:hAnsi="Times New Roman"/>
                <w:sz w:val="15"/>
                <w:szCs w:val="15"/>
                <w:color w:val="auto"/>
              </w:rPr>
              <w:t>California</w:t>
            </w:r>
          </w:p>
        </w:tc>
        <w:tc>
          <w:tcPr>
            <w:tcW w:w="452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SpinalCARE Surgicenter</w:t>
            </w:r>
          </w:p>
        </w:tc>
        <w:tc>
          <w:tcPr>
            <w:tcW w:w="0" w:type="dxa"/>
            <w:vAlign w:val="bottom"/>
          </w:tcPr>
          <w:p>
            <w:pPr>
              <w:spacing w:after="0"/>
              <w:rPr>
                <w:sz w:val="1"/>
                <w:szCs w:val="1"/>
                <w:color w:val="auto"/>
              </w:rPr>
            </w:pPr>
          </w:p>
        </w:tc>
      </w:tr>
      <w:tr>
        <w:trPr>
          <w:trHeight w:val="206"/>
        </w:trPr>
        <w:tc>
          <w:tcPr>
            <w:tcW w:w="42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Jacksonville Beach Surgery Center, LLC</w:t>
            </w:r>
          </w:p>
        </w:tc>
        <w:tc>
          <w:tcPr>
            <w:tcW w:w="2420" w:type="dxa"/>
            <w:vAlign w:val="bottom"/>
          </w:tcPr>
          <w:p>
            <w:pPr>
              <w:ind w:left="1120"/>
              <w:spacing w:after="0"/>
              <w:rPr>
                <w:sz w:val="20"/>
                <w:szCs w:val="20"/>
                <w:color w:val="auto"/>
              </w:rPr>
            </w:pPr>
            <w:r>
              <w:rPr>
                <w:rFonts w:ascii="Times New Roman" w:cs="Times New Roman" w:eastAsia="Times New Roman" w:hAnsi="Times New Roman"/>
                <w:sz w:val="15"/>
                <w:szCs w:val="15"/>
                <w:color w:val="auto"/>
              </w:rPr>
              <w:t>Tennessee</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2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Jenkins County Hospital, LLC</w:t>
            </w:r>
          </w:p>
        </w:tc>
        <w:tc>
          <w:tcPr>
            <w:tcW w:w="2420" w:type="dxa"/>
            <w:vAlign w:val="bottom"/>
          </w:tcPr>
          <w:p>
            <w:pPr>
              <w:ind w:left="1120"/>
              <w:spacing w:after="0"/>
              <w:rPr>
                <w:sz w:val="20"/>
                <w:szCs w:val="20"/>
                <w:color w:val="auto"/>
              </w:rPr>
            </w:pPr>
            <w:r>
              <w:rPr>
                <w:rFonts w:ascii="Times New Roman" w:cs="Times New Roman" w:eastAsia="Times New Roman" w:hAnsi="Times New Roman"/>
                <w:sz w:val="15"/>
                <w:szCs w:val="15"/>
                <w:color w:val="auto"/>
              </w:rPr>
              <w:t>Georgia</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40" w:top="973" w:right="339" w:bottom="1440" w:gutter="0" w:footer="0" w:header="0"/>
        </w:sectPr>
      </w:pPr>
    </w:p>
    <w:bookmarkStart w:id="92" w:name="page93"/>
    <w:bookmarkEnd w:id="9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560" w:type="dxa"/>
            <w:vAlign w:val="bottom"/>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rPr>
              <w:t>Entity Name</w:t>
            </w:r>
          </w:p>
        </w:tc>
        <w:tc>
          <w:tcPr>
            <w:tcW w:w="2140" w:type="dxa"/>
            <w:vAlign w:val="bottom"/>
          </w:tcPr>
          <w:p>
            <w:pPr>
              <w:ind w:left="840"/>
              <w:spacing w:after="0"/>
              <w:rPr>
                <w:sz w:val="20"/>
                <w:szCs w:val="20"/>
                <w:color w:val="auto"/>
              </w:rPr>
            </w:pPr>
            <w:r>
              <w:rPr>
                <w:rFonts w:ascii="Times New Roman" w:cs="Times New Roman" w:eastAsia="Times New Roman" w:hAnsi="Times New Roman"/>
                <w:sz w:val="15"/>
                <w:szCs w:val="15"/>
                <w:b w:val="1"/>
                <w:bCs w:val="1"/>
                <w:color w:val="auto"/>
              </w:rPr>
              <w:t>Jurisdiction of</w:t>
            </w:r>
          </w:p>
        </w:tc>
        <w:tc>
          <w:tcPr>
            <w:tcW w:w="4520" w:type="dxa"/>
            <w:vAlign w:val="bottom"/>
            <w:vMerge w:val="restart"/>
          </w:tcPr>
          <w:p>
            <w:pPr>
              <w:ind w:left="320"/>
              <w:spacing w:after="0"/>
              <w:rPr>
                <w:sz w:val="20"/>
                <w:szCs w:val="20"/>
                <w:color w:val="auto"/>
              </w:rPr>
            </w:pPr>
            <w:r>
              <w:rPr>
                <w:rFonts w:ascii="Times New Roman" w:cs="Times New Roman" w:eastAsia="Times New Roman" w:hAnsi="Times New Roman"/>
                <w:sz w:val="15"/>
                <w:szCs w:val="15"/>
                <w:b w:val="1"/>
                <w:bCs w:val="1"/>
                <w:color w:val="auto"/>
              </w:rPr>
              <w:t>Doing Business As</w:t>
            </w:r>
          </w:p>
        </w:tc>
        <w:tc>
          <w:tcPr>
            <w:tcW w:w="0" w:type="dxa"/>
            <w:vAlign w:val="bottom"/>
          </w:tcPr>
          <w:p>
            <w:pPr>
              <w:spacing w:after="0"/>
              <w:rPr>
                <w:sz w:val="1"/>
                <w:szCs w:val="1"/>
                <w:color w:val="auto"/>
              </w:rPr>
            </w:pPr>
          </w:p>
        </w:tc>
      </w:tr>
      <w:tr>
        <w:trPr>
          <w:trHeight w:val="205"/>
        </w:trPr>
        <w:tc>
          <w:tcPr>
            <w:tcW w:w="4560" w:type="dxa"/>
            <w:vAlign w:val="bottom"/>
            <w:tcBorders>
              <w:bottom w:val="single" w:sz="8" w:color="auto"/>
            </w:tcBorders>
            <w:vMerge w:val="continue"/>
          </w:tcPr>
          <w:p>
            <w:pPr>
              <w:spacing w:after="0"/>
              <w:rPr>
                <w:sz w:val="17"/>
                <w:szCs w:val="17"/>
                <w:color w:val="auto"/>
              </w:rPr>
            </w:pPr>
          </w:p>
        </w:tc>
        <w:tc>
          <w:tcPr>
            <w:tcW w:w="214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5"/>
                <w:szCs w:val="15"/>
                <w:b w:val="1"/>
                <w:bCs w:val="1"/>
                <w:color w:val="auto"/>
              </w:rPr>
              <w:t>Organization</w:t>
            </w:r>
          </w:p>
        </w:tc>
        <w:tc>
          <w:tcPr>
            <w:tcW w:w="45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5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Journey Lite of the Central Coast, LLC</w:t>
            </w:r>
          </w:p>
        </w:tc>
        <w:tc>
          <w:tcPr>
            <w:tcW w:w="2140" w:type="dxa"/>
            <w:vAlign w:val="bottom"/>
          </w:tcPr>
          <w:p>
            <w:pPr>
              <w:ind w:left="840"/>
              <w:spacing w:after="0"/>
              <w:rPr>
                <w:sz w:val="20"/>
                <w:szCs w:val="20"/>
                <w:color w:val="auto"/>
              </w:rPr>
            </w:pPr>
            <w:r>
              <w:rPr>
                <w:rFonts w:ascii="Times New Roman" w:cs="Times New Roman" w:eastAsia="Times New Roman" w:hAnsi="Times New Roman"/>
                <w:sz w:val="15"/>
                <w:szCs w:val="15"/>
                <w:color w:val="auto"/>
              </w:rPr>
              <w:t>California</w:t>
            </w:r>
          </w:p>
        </w:tc>
        <w:tc>
          <w:tcPr>
            <w:tcW w:w="4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5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JW Eye Associates, PLLC</w:t>
            </w:r>
          </w:p>
        </w:tc>
        <w:tc>
          <w:tcPr>
            <w:tcW w:w="2140" w:type="dxa"/>
            <w:vAlign w:val="bottom"/>
          </w:tcPr>
          <w:p>
            <w:pPr>
              <w:ind w:left="840"/>
              <w:spacing w:after="0"/>
              <w:rPr>
                <w:sz w:val="20"/>
                <w:szCs w:val="20"/>
                <w:color w:val="auto"/>
              </w:rPr>
            </w:pPr>
            <w:r>
              <w:rPr>
                <w:rFonts w:ascii="Times New Roman" w:cs="Times New Roman" w:eastAsia="Times New Roman" w:hAnsi="Times New Roman"/>
                <w:sz w:val="15"/>
                <w:szCs w:val="15"/>
                <w:color w:val="auto"/>
              </w:rPr>
              <w:t>Texas</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Kansas Spine &amp; Specialty Hospital, LLC</w:t>
            </w:r>
          </w:p>
        </w:tc>
        <w:tc>
          <w:tcPr>
            <w:tcW w:w="2140" w:type="dxa"/>
            <w:vAlign w:val="bottom"/>
          </w:tcPr>
          <w:p>
            <w:pPr>
              <w:ind w:left="840"/>
              <w:spacing w:after="0"/>
              <w:rPr>
                <w:sz w:val="20"/>
                <w:szCs w:val="20"/>
                <w:color w:val="auto"/>
              </w:rPr>
            </w:pPr>
            <w:r>
              <w:rPr>
                <w:rFonts w:ascii="Times New Roman" w:cs="Times New Roman" w:eastAsia="Times New Roman" w:hAnsi="Times New Roman"/>
                <w:sz w:val="15"/>
                <w:szCs w:val="15"/>
                <w:color w:val="auto"/>
              </w:rPr>
              <w:t>Kansas</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Kent, LLC</w:t>
            </w:r>
          </w:p>
        </w:tc>
        <w:tc>
          <w:tcPr>
            <w:tcW w:w="2140" w:type="dxa"/>
            <w:vAlign w:val="bottom"/>
          </w:tcPr>
          <w:p>
            <w:pPr>
              <w:ind w:left="840"/>
              <w:spacing w:after="0"/>
              <w:rPr>
                <w:sz w:val="20"/>
                <w:szCs w:val="20"/>
                <w:color w:val="auto"/>
              </w:rPr>
            </w:pPr>
            <w:r>
              <w:rPr>
                <w:rFonts w:ascii="Times New Roman" w:cs="Times New Roman" w:eastAsia="Times New Roman" w:hAnsi="Times New Roman"/>
                <w:sz w:val="15"/>
                <w:szCs w:val="15"/>
                <w:color w:val="auto"/>
              </w:rPr>
              <w:t>Rhode Island</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Knowles Surgery Center, LLC</w:t>
            </w:r>
          </w:p>
        </w:tc>
        <w:tc>
          <w:tcPr>
            <w:tcW w:w="2140" w:type="dxa"/>
            <w:vAlign w:val="bottom"/>
          </w:tcPr>
          <w:p>
            <w:pPr>
              <w:ind w:left="840"/>
              <w:spacing w:after="0"/>
              <w:rPr>
                <w:sz w:val="20"/>
                <w:szCs w:val="20"/>
                <w:color w:val="auto"/>
              </w:rPr>
            </w:pPr>
            <w:r>
              <w:rPr>
                <w:rFonts w:ascii="Times New Roman" w:cs="Times New Roman" w:eastAsia="Times New Roman" w:hAnsi="Times New Roman"/>
                <w:sz w:val="15"/>
                <w:szCs w:val="15"/>
                <w:color w:val="auto"/>
              </w:rPr>
              <w:t>California</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KW ASC Holdings, LLC</w:t>
            </w:r>
          </w:p>
        </w:tc>
        <w:tc>
          <w:tcPr>
            <w:tcW w:w="2140" w:type="dxa"/>
            <w:vAlign w:val="bottom"/>
          </w:tcPr>
          <w:p>
            <w:pPr>
              <w:ind w:left="840"/>
              <w:spacing w:after="0"/>
              <w:rPr>
                <w:sz w:val="20"/>
                <w:szCs w:val="20"/>
                <w:color w:val="auto"/>
              </w:rPr>
            </w:pPr>
            <w:r>
              <w:rPr>
                <w:rFonts w:ascii="Times New Roman" w:cs="Times New Roman" w:eastAsia="Times New Roman" w:hAnsi="Times New Roman"/>
                <w:sz w:val="15"/>
                <w:szCs w:val="15"/>
                <w:color w:val="auto"/>
              </w:rPr>
              <w:t>Texas</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KW SP Management, LLC</w:t>
            </w:r>
          </w:p>
        </w:tc>
        <w:tc>
          <w:tcPr>
            <w:tcW w:w="2140" w:type="dxa"/>
            <w:vAlign w:val="bottom"/>
          </w:tcPr>
          <w:p>
            <w:pPr>
              <w:ind w:left="840"/>
              <w:spacing w:after="0"/>
              <w:rPr>
                <w:sz w:val="20"/>
                <w:szCs w:val="20"/>
                <w:color w:val="auto"/>
              </w:rPr>
            </w:pPr>
            <w:r>
              <w:rPr>
                <w:rFonts w:ascii="Times New Roman" w:cs="Times New Roman" w:eastAsia="Times New Roman" w:hAnsi="Times New Roman"/>
                <w:sz w:val="15"/>
                <w:szCs w:val="15"/>
                <w:color w:val="auto"/>
              </w:rPr>
              <w:t>Delaware</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Lafayette Surgical Hospital, LLC</w:t>
            </w:r>
          </w:p>
        </w:tc>
        <w:tc>
          <w:tcPr>
            <w:tcW w:w="2140" w:type="dxa"/>
            <w:vAlign w:val="bottom"/>
          </w:tcPr>
          <w:p>
            <w:pPr>
              <w:ind w:left="840"/>
              <w:spacing w:after="0"/>
              <w:rPr>
                <w:sz w:val="20"/>
                <w:szCs w:val="20"/>
                <w:color w:val="auto"/>
              </w:rPr>
            </w:pPr>
            <w:r>
              <w:rPr>
                <w:rFonts w:ascii="Times New Roman" w:cs="Times New Roman" w:eastAsia="Times New Roman" w:hAnsi="Times New Roman"/>
                <w:sz w:val="15"/>
                <w:szCs w:val="15"/>
                <w:color w:val="auto"/>
              </w:rPr>
              <w:t>Louisiana</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Lake Mary Surgery Center, L.L.C.</w:t>
            </w:r>
          </w:p>
        </w:tc>
        <w:tc>
          <w:tcPr>
            <w:tcW w:w="2140" w:type="dxa"/>
            <w:vAlign w:val="bottom"/>
          </w:tcPr>
          <w:p>
            <w:pPr>
              <w:ind w:left="840"/>
              <w:spacing w:after="0"/>
              <w:rPr>
                <w:sz w:val="20"/>
                <w:szCs w:val="20"/>
                <w:color w:val="auto"/>
              </w:rPr>
            </w:pPr>
            <w:r>
              <w:rPr>
                <w:rFonts w:ascii="Times New Roman" w:cs="Times New Roman" w:eastAsia="Times New Roman" w:hAnsi="Times New Roman"/>
                <w:sz w:val="15"/>
                <w:szCs w:val="15"/>
                <w:color w:val="auto"/>
              </w:rPr>
              <w:t>Florida</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Lakeway Holdco, LLC</w:t>
            </w:r>
          </w:p>
        </w:tc>
        <w:tc>
          <w:tcPr>
            <w:tcW w:w="2140" w:type="dxa"/>
            <w:vAlign w:val="bottom"/>
          </w:tcPr>
          <w:p>
            <w:pPr>
              <w:ind w:left="840"/>
              <w:spacing w:after="0"/>
              <w:rPr>
                <w:sz w:val="20"/>
                <w:szCs w:val="20"/>
                <w:color w:val="auto"/>
              </w:rPr>
            </w:pPr>
            <w:r>
              <w:rPr>
                <w:rFonts w:ascii="Times New Roman" w:cs="Times New Roman" w:eastAsia="Times New Roman" w:hAnsi="Times New Roman"/>
                <w:sz w:val="15"/>
                <w:szCs w:val="15"/>
                <w:color w:val="auto"/>
              </w:rPr>
              <w:t>Texas</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Lakeway Ambulatory Surgical Center, LLC</w:t>
            </w:r>
          </w:p>
        </w:tc>
        <w:tc>
          <w:tcPr>
            <w:tcW w:w="2140" w:type="dxa"/>
            <w:vAlign w:val="bottom"/>
          </w:tcPr>
          <w:p>
            <w:pPr>
              <w:ind w:left="840"/>
              <w:spacing w:after="0"/>
              <w:rPr>
                <w:sz w:val="20"/>
                <w:szCs w:val="20"/>
                <w:color w:val="auto"/>
              </w:rPr>
            </w:pPr>
            <w:r>
              <w:rPr>
                <w:rFonts w:ascii="Times New Roman" w:cs="Times New Roman" w:eastAsia="Times New Roman" w:hAnsi="Times New Roman"/>
                <w:sz w:val="15"/>
                <w:szCs w:val="15"/>
                <w:color w:val="auto"/>
              </w:rPr>
              <w:t>Texas</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Lakeway Stay Suites, LLC</w:t>
            </w:r>
          </w:p>
        </w:tc>
        <w:tc>
          <w:tcPr>
            <w:tcW w:w="2140" w:type="dxa"/>
            <w:vAlign w:val="bottom"/>
          </w:tcPr>
          <w:p>
            <w:pPr>
              <w:ind w:left="840"/>
              <w:spacing w:after="0"/>
              <w:rPr>
                <w:sz w:val="20"/>
                <w:szCs w:val="20"/>
                <w:color w:val="auto"/>
              </w:rPr>
            </w:pPr>
            <w:r>
              <w:rPr>
                <w:rFonts w:ascii="Times New Roman" w:cs="Times New Roman" w:eastAsia="Times New Roman" w:hAnsi="Times New Roman"/>
                <w:sz w:val="15"/>
                <w:szCs w:val="15"/>
                <w:color w:val="auto"/>
              </w:rPr>
              <w:t>Texas</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La Peer Surgery Center, LLC</w:t>
            </w:r>
          </w:p>
        </w:tc>
        <w:tc>
          <w:tcPr>
            <w:tcW w:w="2140" w:type="dxa"/>
            <w:vAlign w:val="bottom"/>
          </w:tcPr>
          <w:p>
            <w:pPr>
              <w:ind w:left="840"/>
              <w:spacing w:after="0"/>
              <w:rPr>
                <w:sz w:val="20"/>
                <w:szCs w:val="20"/>
                <w:color w:val="auto"/>
              </w:rPr>
            </w:pPr>
            <w:r>
              <w:rPr>
                <w:rFonts w:ascii="Times New Roman" w:cs="Times New Roman" w:eastAsia="Times New Roman" w:hAnsi="Times New Roman"/>
                <w:sz w:val="15"/>
                <w:szCs w:val="15"/>
                <w:color w:val="auto"/>
              </w:rPr>
              <w:t>California</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Laser and Outpatient Surgery Center, LLC</w:t>
            </w:r>
          </w:p>
        </w:tc>
        <w:tc>
          <w:tcPr>
            <w:tcW w:w="2140" w:type="dxa"/>
            <w:vAlign w:val="bottom"/>
          </w:tcPr>
          <w:p>
            <w:pPr>
              <w:ind w:left="840"/>
              <w:spacing w:after="0"/>
              <w:rPr>
                <w:sz w:val="20"/>
                <w:szCs w:val="20"/>
                <w:color w:val="auto"/>
              </w:rPr>
            </w:pPr>
            <w:r>
              <w:rPr>
                <w:rFonts w:ascii="Times New Roman" w:cs="Times New Roman" w:eastAsia="Times New Roman" w:hAnsi="Times New Roman"/>
                <w:sz w:val="15"/>
                <w:szCs w:val="15"/>
                <w:color w:val="auto"/>
              </w:rPr>
              <w:t>Delaware</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Lonestar Ambulatory Surgical Center, LLC</w:t>
            </w:r>
          </w:p>
        </w:tc>
        <w:tc>
          <w:tcPr>
            <w:tcW w:w="2140" w:type="dxa"/>
            <w:vAlign w:val="bottom"/>
          </w:tcPr>
          <w:p>
            <w:pPr>
              <w:ind w:left="840"/>
              <w:spacing w:after="0"/>
              <w:rPr>
                <w:sz w:val="20"/>
                <w:szCs w:val="20"/>
                <w:color w:val="auto"/>
              </w:rPr>
            </w:pPr>
            <w:r>
              <w:rPr>
                <w:rFonts w:ascii="Times New Roman" w:cs="Times New Roman" w:eastAsia="Times New Roman" w:hAnsi="Times New Roman"/>
                <w:sz w:val="15"/>
                <w:szCs w:val="15"/>
                <w:color w:val="auto"/>
              </w:rPr>
              <w:t>Texas</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Lubbock Heart Hospital, LLC</w:t>
            </w:r>
          </w:p>
        </w:tc>
        <w:tc>
          <w:tcPr>
            <w:tcW w:w="2140" w:type="dxa"/>
            <w:vAlign w:val="bottom"/>
          </w:tcPr>
          <w:p>
            <w:pPr>
              <w:ind w:left="840"/>
              <w:spacing w:after="0"/>
              <w:rPr>
                <w:sz w:val="20"/>
                <w:szCs w:val="20"/>
                <w:color w:val="auto"/>
              </w:rPr>
            </w:pPr>
            <w:r>
              <w:rPr>
                <w:rFonts w:ascii="Times New Roman" w:cs="Times New Roman" w:eastAsia="Times New Roman" w:hAnsi="Times New Roman"/>
                <w:sz w:val="15"/>
                <w:szCs w:val="15"/>
                <w:color w:val="auto"/>
              </w:rPr>
              <w:t>Delaware</w:t>
            </w:r>
          </w:p>
        </w:tc>
        <w:tc>
          <w:tcPr>
            <w:tcW w:w="452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Lubbock Heart &amp; Surgical Hospital</w:t>
            </w:r>
          </w:p>
        </w:tc>
        <w:tc>
          <w:tcPr>
            <w:tcW w:w="0" w:type="dxa"/>
            <w:vAlign w:val="bottom"/>
          </w:tcPr>
          <w:p>
            <w:pPr>
              <w:spacing w:after="0"/>
              <w:rPr>
                <w:sz w:val="1"/>
                <w:szCs w:val="1"/>
                <w:color w:val="auto"/>
              </w:rPr>
            </w:pPr>
          </w:p>
        </w:tc>
      </w:tr>
      <w:tr>
        <w:trPr>
          <w:trHeight w:val="206"/>
        </w:trPr>
        <w:tc>
          <w:tcPr>
            <w:tcW w:w="45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Macon Vascular Care, LLC</w:t>
            </w:r>
          </w:p>
        </w:tc>
        <w:tc>
          <w:tcPr>
            <w:tcW w:w="2140" w:type="dxa"/>
            <w:vAlign w:val="bottom"/>
          </w:tcPr>
          <w:p>
            <w:pPr>
              <w:ind w:left="840"/>
              <w:spacing w:after="0"/>
              <w:rPr>
                <w:sz w:val="20"/>
                <w:szCs w:val="20"/>
                <w:color w:val="auto"/>
              </w:rPr>
            </w:pPr>
            <w:r>
              <w:rPr>
                <w:rFonts w:ascii="Times New Roman" w:cs="Times New Roman" w:eastAsia="Times New Roman" w:hAnsi="Times New Roman"/>
                <w:sz w:val="15"/>
                <w:szCs w:val="15"/>
                <w:color w:val="auto"/>
              </w:rPr>
              <w:t>Georgia</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Meadowbrook Medical Associates, LLP</w:t>
            </w:r>
          </w:p>
        </w:tc>
        <w:tc>
          <w:tcPr>
            <w:tcW w:w="2140" w:type="dxa"/>
            <w:vAlign w:val="bottom"/>
          </w:tcPr>
          <w:p>
            <w:pPr>
              <w:ind w:left="840"/>
              <w:spacing w:after="0"/>
              <w:rPr>
                <w:sz w:val="20"/>
                <w:szCs w:val="20"/>
                <w:color w:val="auto"/>
              </w:rPr>
            </w:pPr>
            <w:r>
              <w:rPr>
                <w:rFonts w:ascii="Times New Roman" w:cs="Times New Roman" w:eastAsia="Times New Roman" w:hAnsi="Times New Roman"/>
                <w:sz w:val="15"/>
                <w:szCs w:val="15"/>
                <w:color w:val="auto"/>
              </w:rPr>
              <w:t>New York</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Medical Center Endoscopy, LLC</w:t>
            </w:r>
          </w:p>
        </w:tc>
        <w:tc>
          <w:tcPr>
            <w:tcW w:w="2140" w:type="dxa"/>
            <w:vAlign w:val="bottom"/>
          </w:tcPr>
          <w:p>
            <w:pPr>
              <w:ind w:left="840"/>
              <w:spacing w:after="0"/>
              <w:rPr>
                <w:sz w:val="20"/>
                <w:szCs w:val="20"/>
                <w:color w:val="auto"/>
              </w:rPr>
            </w:pPr>
            <w:r>
              <w:rPr>
                <w:rFonts w:ascii="Times New Roman" w:cs="Times New Roman" w:eastAsia="Times New Roman" w:hAnsi="Times New Roman"/>
                <w:sz w:val="15"/>
                <w:szCs w:val="15"/>
                <w:color w:val="auto"/>
              </w:rPr>
              <w:t>Texas</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Midwest Orthopedic and Musculoskeletal Alliance, LLC</w:t>
            </w:r>
          </w:p>
        </w:tc>
        <w:tc>
          <w:tcPr>
            <w:tcW w:w="2140" w:type="dxa"/>
            <w:vAlign w:val="bottom"/>
          </w:tcPr>
          <w:p>
            <w:pPr>
              <w:ind w:left="840"/>
              <w:spacing w:after="0"/>
              <w:rPr>
                <w:sz w:val="20"/>
                <w:szCs w:val="20"/>
                <w:color w:val="auto"/>
              </w:rPr>
            </w:pPr>
            <w:r>
              <w:rPr>
                <w:rFonts w:ascii="Times New Roman" w:cs="Times New Roman" w:eastAsia="Times New Roman" w:hAnsi="Times New Roman"/>
                <w:sz w:val="15"/>
                <w:szCs w:val="15"/>
                <w:color w:val="auto"/>
              </w:rPr>
              <w:t>Delaware</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Midwest Orthopedic OrthoLazer, LLC</w:t>
            </w:r>
          </w:p>
        </w:tc>
        <w:tc>
          <w:tcPr>
            <w:tcW w:w="2140" w:type="dxa"/>
            <w:vAlign w:val="bottom"/>
          </w:tcPr>
          <w:p>
            <w:pPr>
              <w:ind w:left="840"/>
              <w:spacing w:after="0"/>
              <w:rPr>
                <w:sz w:val="20"/>
                <w:szCs w:val="20"/>
                <w:color w:val="auto"/>
              </w:rPr>
            </w:pPr>
            <w:r>
              <w:rPr>
                <w:rFonts w:ascii="Times New Roman" w:cs="Times New Roman" w:eastAsia="Times New Roman" w:hAnsi="Times New Roman"/>
                <w:sz w:val="15"/>
                <w:szCs w:val="15"/>
                <w:color w:val="auto"/>
              </w:rPr>
              <w:t>Wisconsin</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Midwest Orthopedic Solutions, LLC</w:t>
            </w:r>
          </w:p>
        </w:tc>
        <w:tc>
          <w:tcPr>
            <w:tcW w:w="2140" w:type="dxa"/>
            <w:vAlign w:val="bottom"/>
          </w:tcPr>
          <w:p>
            <w:pPr>
              <w:ind w:left="840"/>
              <w:spacing w:after="0"/>
              <w:rPr>
                <w:sz w:val="20"/>
                <w:szCs w:val="20"/>
                <w:color w:val="auto"/>
              </w:rPr>
            </w:pPr>
            <w:r>
              <w:rPr>
                <w:rFonts w:ascii="Times New Roman" w:cs="Times New Roman" w:eastAsia="Times New Roman" w:hAnsi="Times New Roman"/>
                <w:sz w:val="15"/>
                <w:szCs w:val="15"/>
                <w:color w:val="auto"/>
              </w:rPr>
              <w:t>Wisconsin</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Midwest Orthopedic Specialty Hospital, LLC</w:t>
            </w:r>
          </w:p>
        </w:tc>
        <w:tc>
          <w:tcPr>
            <w:tcW w:w="2140" w:type="dxa"/>
            <w:vAlign w:val="bottom"/>
          </w:tcPr>
          <w:p>
            <w:pPr>
              <w:ind w:left="840"/>
              <w:spacing w:after="0"/>
              <w:rPr>
                <w:sz w:val="20"/>
                <w:szCs w:val="20"/>
                <w:color w:val="auto"/>
              </w:rPr>
            </w:pPr>
            <w:r>
              <w:rPr>
                <w:rFonts w:ascii="Times New Roman" w:cs="Times New Roman" w:eastAsia="Times New Roman" w:hAnsi="Times New Roman"/>
                <w:sz w:val="15"/>
                <w:szCs w:val="15"/>
                <w:color w:val="auto"/>
              </w:rPr>
              <w:t>Wisconsin</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Midwest Surgical Hospital, LLC</w:t>
            </w:r>
          </w:p>
        </w:tc>
        <w:tc>
          <w:tcPr>
            <w:tcW w:w="2140" w:type="dxa"/>
            <w:vAlign w:val="bottom"/>
          </w:tcPr>
          <w:p>
            <w:pPr>
              <w:ind w:left="840"/>
              <w:spacing w:after="0"/>
              <w:rPr>
                <w:sz w:val="20"/>
                <w:szCs w:val="20"/>
                <w:color w:val="auto"/>
              </w:rPr>
            </w:pPr>
            <w:r>
              <w:rPr>
                <w:rFonts w:ascii="Times New Roman" w:cs="Times New Roman" w:eastAsia="Times New Roman" w:hAnsi="Times New Roman"/>
                <w:sz w:val="15"/>
                <w:szCs w:val="15"/>
                <w:color w:val="auto"/>
              </w:rPr>
              <w:t>Nebraska</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Midwest Uncuts, Inc.</w:t>
            </w:r>
          </w:p>
        </w:tc>
        <w:tc>
          <w:tcPr>
            <w:tcW w:w="2140" w:type="dxa"/>
            <w:vAlign w:val="bottom"/>
          </w:tcPr>
          <w:p>
            <w:pPr>
              <w:ind w:left="840"/>
              <w:spacing w:after="0"/>
              <w:rPr>
                <w:sz w:val="20"/>
                <w:szCs w:val="20"/>
                <w:color w:val="auto"/>
              </w:rPr>
            </w:pPr>
            <w:r>
              <w:rPr>
                <w:rFonts w:ascii="Times New Roman" w:cs="Times New Roman" w:eastAsia="Times New Roman" w:hAnsi="Times New Roman"/>
                <w:sz w:val="15"/>
                <w:szCs w:val="15"/>
                <w:color w:val="auto"/>
              </w:rPr>
              <w:t>Iowa</w:t>
            </w:r>
          </w:p>
        </w:tc>
        <w:tc>
          <w:tcPr>
            <w:tcW w:w="452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Midwest Labs</w:t>
            </w:r>
          </w:p>
        </w:tc>
        <w:tc>
          <w:tcPr>
            <w:tcW w:w="0" w:type="dxa"/>
            <w:vAlign w:val="bottom"/>
          </w:tcPr>
          <w:p>
            <w:pPr>
              <w:spacing w:after="0"/>
              <w:rPr>
                <w:sz w:val="1"/>
                <w:szCs w:val="1"/>
                <w:color w:val="auto"/>
              </w:rPr>
            </w:pPr>
          </w:p>
        </w:tc>
      </w:tr>
      <w:tr>
        <w:trPr>
          <w:trHeight w:val="206"/>
        </w:trPr>
        <w:tc>
          <w:tcPr>
            <w:tcW w:w="45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Millenia Surgery Center, L.L.C.</w:t>
            </w:r>
          </w:p>
        </w:tc>
        <w:tc>
          <w:tcPr>
            <w:tcW w:w="2140" w:type="dxa"/>
            <w:vAlign w:val="bottom"/>
          </w:tcPr>
          <w:p>
            <w:pPr>
              <w:ind w:left="840"/>
              <w:spacing w:after="0"/>
              <w:rPr>
                <w:sz w:val="20"/>
                <w:szCs w:val="20"/>
                <w:color w:val="auto"/>
              </w:rPr>
            </w:pPr>
            <w:r>
              <w:rPr>
                <w:rFonts w:ascii="Times New Roman" w:cs="Times New Roman" w:eastAsia="Times New Roman" w:hAnsi="Times New Roman"/>
                <w:sz w:val="15"/>
                <w:szCs w:val="15"/>
                <w:color w:val="auto"/>
              </w:rPr>
              <w:t>Florida</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Minimally Invasive Surgical and Neuroscience Center, LLC</w:t>
            </w:r>
          </w:p>
        </w:tc>
        <w:tc>
          <w:tcPr>
            <w:tcW w:w="2140" w:type="dxa"/>
            <w:vAlign w:val="bottom"/>
          </w:tcPr>
          <w:p>
            <w:pPr>
              <w:ind w:left="840"/>
              <w:spacing w:after="0"/>
              <w:rPr>
                <w:sz w:val="20"/>
                <w:szCs w:val="20"/>
                <w:color w:val="auto"/>
              </w:rPr>
            </w:pPr>
            <w:r>
              <w:rPr>
                <w:rFonts w:ascii="Times New Roman" w:cs="Times New Roman" w:eastAsia="Times New Roman" w:hAnsi="Times New Roman"/>
                <w:sz w:val="15"/>
                <w:szCs w:val="15"/>
                <w:color w:val="auto"/>
              </w:rPr>
              <w:t>Delaware</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Montana Health Partners, LLC</w:t>
            </w:r>
          </w:p>
        </w:tc>
        <w:tc>
          <w:tcPr>
            <w:tcW w:w="2140" w:type="dxa"/>
            <w:vAlign w:val="bottom"/>
          </w:tcPr>
          <w:p>
            <w:pPr>
              <w:ind w:left="840"/>
              <w:spacing w:after="0"/>
              <w:rPr>
                <w:sz w:val="20"/>
                <w:szCs w:val="20"/>
                <w:color w:val="auto"/>
              </w:rPr>
            </w:pPr>
            <w:r>
              <w:rPr>
                <w:rFonts w:ascii="Times New Roman" w:cs="Times New Roman" w:eastAsia="Times New Roman" w:hAnsi="Times New Roman"/>
                <w:sz w:val="15"/>
                <w:szCs w:val="15"/>
                <w:color w:val="auto"/>
              </w:rPr>
              <w:t>Montana</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Montpelier Surgery Center, LLC</w:t>
            </w:r>
          </w:p>
        </w:tc>
        <w:tc>
          <w:tcPr>
            <w:tcW w:w="2140" w:type="dxa"/>
            <w:vAlign w:val="bottom"/>
          </w:tcPr>
          <w:p>
            <w:pPr>
              <w:ind w:left="840"/>
              <w:spacing w:after="0"/>
              <w:rPr>
                <w:sz w:val="20"/>
                <w:szCs w:val="20"/>
                <w:color w:val="auto"/>
              </w:rPr>
            </w:pPr>
            <w:r>
              <w:rPr>
                <w:rFonts w:ascii="Times New Roman" w:cs="Times New Roman" w:eastAsia="Times New Roman" w:hAnsi="Times New Roman"/>
                <w:sz w:val="15"/>
                <w:szCs w:val="15"/>
                <w:color w:val="auto"/>
              </w:rPr>
              <w:t>Delaware</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Mountain View Hospital, LLC</w:t>
            </w:r>
          </w:p>
        </w:tc>
        <w:tc>
          <w:tcPr>
            <w:tcW w:w="2140" w:type="dxa"/>
            <w:vAlign w:val="bottom"/>
          </w:tcPr>
          <w:p>
            <w:pPr>
              <w:ind w:left="840"/>
              <w:spacing w:after="0"/>
              <w:rPr>
                <w:sz w:val="20"/>
                <w:szCs w:val="20"/>
                <w:color w:val="auto"/>
              </w:rPr>
            </w:pPr>
            <w:r>
              <w:rPr>
                <w:rFonts w:ascii="Times New Roman" w:cs="Times New Roman" w:eastAsia="Times New Roman" w:hAnsi="Times New Roman"/>
                <w:sz w:val="15"/>
                <w:szCs w:val="15"/>
                <w:color w:val="auto"/>
              </w:rPr>
              <w:t>Delaware</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Mountain View Network, LLC</w:t>
            </w:r>
          </w:p>
        </w:tc>
        <w:tc>
          <w:tcPr>
            <w:tcW w:w="2140" w:type="dxa"/>
            <w:vAlign w:val="bottom"/>
          </w:tcPr>
          <w:p>
            <w:pPr>
              <w:ind w:left="840"/>
              <w:spacing w:after="0"/>
              <w:rPr>
                <w:sz w:val="20"/>
                <w:szCs w:val="20"/>
                <w:color w:val="auto"/>
              </w:rPr>
            </w:pPr>
            <w:r>
              <w:rPr>
                <w:rFonts w:ascii="Times New Roman" w:cs="Times New Roman" w:eastAsia="Times New Roman" w:hAnsi="Times New Roman"/>
                <w:sz w:val="15"/>
                <w:szCs w:val="15"/>
                <w:color w:val="auto"/>
              </w:rPr>
              <w:t>Idaho</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Muve - West Chester Ambulatory Surgical Center, LLC</w:t>
            </w:r>
          </w:p>
        </w:tc>
        <w:tc>
          <w:tcPr>
            <w:tcW w:w="2140" w:type="dxa"/>
            <w:vAlign w:val="bottom"/>
          </w:tcPr>
          <w:p>
            <w:pPr>
              <w:ind w:left="840"/>
              <w:spacing w:after="0"/>
              <w:rPr>
                <w:sz w:val="20"/>
                <w:szCs w:val="20"/>
                <w:color w:val="auto"/>
              </w:rPr>
            </w:pPr>
            <w:r>
              <w:rPr>
                <w:rFonts w:ascii="Times New Roman" w:cs="Times New Roman" w:eastAsia="Times New Roman" w:hAnsi="Times New Roman"/>
                <w:sz w:val="15"/>
                <w:szCs w:val="15"/>
                <w:color w:val="auto"/>
              </w:rPr>
              <w:t>Pennsylvania</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Muve - West Chester, LLC</w:t>
            </w:r>
          </w:p>
        </w:tc>
        <w:tc>
          <w:tcPr>
            <w:tcW w:w="2140" w:type="dxa"/>
            <w:vAlign w:val="bottom"/>
          </w:tcPr>
          <w:p>
            <w:pPr>
              <w:ind w:left="840"/>
              <w:spacing w:after="0"/>
              <w:rPr>
                <w:sz w:val="20"/>
                <w:szCs w:val="20"/>
                <w:color w:val="auto"/>
              </w:rPr>
            </w:pPr>
            <w:r>
              <w:rPr>
                <w:rFonts w:ascii="Times New Roman" w:cs="Times New Roman" w:eastAsia="Times New Roman" w:hAnsi="Times New Roman"/>
                <w:sz w:val="15"/>
                <w:szCs w:val="15"/>
                <w:color w:val="auto"/>
              </w:rPr>
              <w:t>Pennsylvania</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Muve - West Chester Stay Suites, LLC</w:t>
            </w:r>
          </w:p>
        </w:tc>
        <w:tc>
          <w:tcPr>
            <w:tcW w:w="2140" w:type="dxa"/>
            <w:vAlign w:val="bottom"/>
          </w:tcPr>
          <w:p>
            <w:pPr>
              <w:ind w:left="840"/>
              <w:spacing w:after="0"/>
              <w:rPr>
                <w:sz w:val="20"/>
                <w:szCs w:val="20"/>
                <w:color w:val="auto"/>
              </w:rPr>
            </w:pPr>
            <w:r>
              <w:rPr>
                <w:rFonts w:ascii="Times New Roman" w:cs="Times New Roman" w:eastAsia="Times New Roman" w:hAnsi="Times New Roman"/>
                <w:sz w:val="15"/>
                <w:szCs w:val="15"/>
                <w:color w:val="auto"/>
              </w:rPr>
              <w:t>Pennsylvania</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MV Oncology, LLC</w:t>
            </w:r>
          </w:p>
        </w:tc>
        <w:tc>
          <w:tcPr>
            <w:tcW w:w="2140" w:type="dxa"/>
            <w:vAlign w:val="bottom"/>
          </w:tcPr>
          <w:p>
            <w:pPr>
              <w:ind w:left="840"/>
              <w:spacing w:after="0"/>
              <w:rPr>
                <w:sz w:val="20"/>
                <w:szCs w:val="20"/>
                <w:color w:val="auto"/>
              </w:rPr>
            </w:pPr>
            <w:r>
              <w:rPr>
                <w:rFonts w:ascii="Times New Roman" w:cs="Times New Roman" w:eastAsia="Times New Roman" w:hAnsi="Times New Roman"/>
                <w:sz w:val="15"/>
                <w:szCs w:val="15"/>
                <w:color w:val="auto"/>
              </w:rPr>
              <w:t>Delaware</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MV Pocatello ENT, LLC</w:t>
            </w:r>
          </w:p>
        </w:tc>
        <w:tc>
          <w:tcPr>
            <w:tcW w:w="2140" w:type="dxa"/>
            <w:vAlign w:val="bottom"/>
          </w:tcPr>
          <w:p>
            <w:pPr>
              <w:ind w:left="840"/>
              <w:spacing w:after="0"/>
              <w:rPr>
                <w:sz w:val="20"/>
                <w:szCs w:val="20"/>
                <w:color w:val="auto"/>
              </w:rPr>
            </w:pPr>
            <w:r>
              <w:rPr>
                <w:rFonts w:ascii="Times New Roman" w:cs="Times New Roman" w:eastAsia="Times New Roman" w:hAnsi="Times New Roman"/>
                <w:sz w:val="15"/>
                <w:szCs w:val="15"/>
                <w:color w:val="auto"/>
              </w:rPr>
              <w:t>Idaho</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MVH BMC, LLC</w:t>
            </w:r>
          </w:p>
        </w:tc>
        <w:tc>
          <w:tcPr>
            <w:tcW w:w="2140" w:type="dxa"/>
            <w:vAlign w:val="bottom"/>
          </w:tcPr>
          <w:p>
            <w:pPr>
              <w:ind w:left="840"/>
              <w:spacing w:after="0"/>
              <w:rPr>
                <w:sz w:val="20"/>
                <w:szCs w:val="20"/>
                <w:color w:val="auto"/>
              </w:rPr>
            </w:pPr>
            <w:r>
              <w:rPr>
                <w:rFonts w:ascii="Times New Roman" w:cs="Times New Roman" w:eastAsia="Times New Roman" w:hAnsi="Times New Roman"/>
                <w:sz w:val="15"/>
                <w:szCs w:val="15"/>
                <w:color w:val="auto"/>
              </w:rPr>
              <w:t>Idaho</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MVH Eagle Rock ASC, LLC</w:t>
            </w:r>
          </w:p>
        </w:tc>
        <w:tc>
          <w:tcPr>
            <w:tcW w:w="2140" w:type="dxa"/>
            <w:vAlign w:val="bottom"/>
          </w:tcPr>
          <w:p>
            <w:pPr>
              <w:ind w:left="840"/>
              <w:spacing w:after="0"/>
              <w:rPr>
                <w:sz w:val="20"/>
                <w:szCs w:val="20"/>
                <w:color w:val="auto"/>
              </w:rPr>
            </w:pPr>
            <w:r>
              <w:rPr>
                <w:rFonts w:ascii="Times New Roman" w:cs="Times New Roman" w:eastAsia="Times New Roman" w:hAnsi="Times New Roman"/>
                <w:sz w:val="15"/>
                <w:szCs w:val="15"/>
                <w:color w:val="auto"/>
              </w:rPr>
              <w:t>Idaho</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MVH Idaho Falls Oncology, LLC</w:t>
            </w:r>
          </w:p>
        </w:tc>
        <w:tc>
          <w:tcPr>
            <w:tcW w:w="2140" w:type="dxa"/>
            <w:vAlign w:val="bottom"/>
          </w:tcPr>
          <w:p>
            <w:pPr>
              <w:ind w:left="840"/>
              <w:spacing w:after="0"/>
              <w:rPr>
                <w:sz w:val="20"/>
                <w:szCs w:val="20"/>
                <w:color w:val="auto"/>
              </w:rPr>
            </w:pPr>
            <w:r>
              <w:rPr>
                <w:rFonts w:ascii="Times New Roman" w:cs="Times New Roman" w:eastAsia="Times New Roman" w:hAnsi="Times New Roman"/>
                <w:sz w:val="15"/>
                <w:szCs w:val="15"/>
                <w:color w:val="auto"/>
              </w:rPr>
              <w:t>Delaware</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MVH NWSH, LLC</w:t>
            </w:r>
          </w:p>
        </w:tc>
        <w:tc>
          <w:tcPr>
            <w:tcW w:w="2140" w:type="dxa"/>
            <w:vAlign w:val="bottom"/>
          </w:tcPr>
          <w:p>
            <w:pPr>
              <w:ind w:left="840"/>
              <w:spacing w:after="0"/>
              <w:rPr>
                <w:sz w:val="20"/>
                <w:szCs w:val="20"/>
                <w:color w:val="auto"/>
              </w:rPr>
            </w:pPr>
            <w:r>
              <w:rPr>
                <w:rFonts w:ascii="Times New Roman" w:cs="Times New Roman" w:eastAsia="Times New Roman" w:hAnsi="Times New Roman"/>
                <w:sz w:val="15"/>
                <w:szCs w:val="15"/>
                <w:color w:val="auto"/>
              </w:rPr>
              <w:t>Idaho</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MVH Parkway, LLC</w:t>
            </w:r>
          </w:p>
        </w:tc>
        <w:tc>
          <w:tcPr>
            <w:tcW w:w="2140" w:type="dxa"/>
            <w:vAlign w:val="bottom"/>
          </w:tcPr>
          <w:p>
            <w:pPr>
              <w:ind w:left="840"/>
              <w:spacing w:after="0"/>
              <w:rPr>
                <w:sz w:val="20"/>
                <w:szCs w:val="20"/>
                <w:color w:val="auto"/>
              </w:rPr>
            </w:pPr>
            <w:r>
              <w:rPr>
                <w:rFonts w:ascii="Times New Roman" w:cs="Times New Roman" w:eastAsia="Times New Roman" w:hAnsi="Times New Roman"/>
                <w:sz w:val="15"/>
                <w:szCs w:val="15"/>
                <w:color w:val="auto"/>
              </w:rPr>
              <w:t>Delaware</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MVH PC Specialists, LLC</w:t>
            </w:r>
          </w:p>
        </w:tc>
        <w:tc>
          <w:tcPr>
            <w:tcW w:w="2140" w:type="dxa"/>
            <w:vAlign w:val="bottom"/>
          </w:tcPr>
          <w:p>
            <w:pPr>
              <w:ind w:left="840"/>
              <w:spacing w:after="0"/>
              <w:rPr>
                <w:sz w:val="20"/>
                <w:szCs w:val="20"/>
                <w:color w:val="auto"/>
              </w:rPr>
            </w:pPr>
            <w:r>
              <w:rPr>
                <w:rFonts w:ascii="Times New Roman" w:cs="Times New Roman" w:eastAsia="Times New Roman" w:hAnsi="Times New Roman"/>
                <w:sz w:val="15"/>
                <w:szCs w:val="15"/>
                <w:color w:val="auto"/>
              </w:rPr>
              <w:t>Idaho</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MVH PIC, LLC</w:t>
            </w:r>
          </w:p>
        </w:tc>
        <w:tc>
          <w:tcPr>
            <w:tcW w:w="2140" w:type="dxa"/>
            <w:vAlign w:val="bottom"/>
          </w:tcPr>
          <w:p>
            <w:pPr>
              <w:ind w:left="840"/>
              <w:spacing w:after="0"/>
              <w:rPr>
                <w:sz w:val="20"/>
                <w:szCs w:val="20"/>
                <w:color w:val="auto"/>
              </w:rPr>
            </w:pPr>
            <w:r>
              <w:rPr>
                <w:rFonts w:ascii="Times New Roman" w:cs="Times New Roman" w:eastAsia="Times New Roman" w:hAnsi="Times New Roman"/>
                <w:sz w:val="15"/>
                <w:szCs w:val="15"/>
                <w:color w:val="auto"/>
              </w:rPr>
              <w:t>Idaho</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MVH PMHS, LLC</w:t>
            </w:r>
          </w:p>
        </w:tc>
        <w:tc>
          <w:tcPr>
            <w:tcW w:w="2140" w:type="dxa"/>
            <w:vAlign w:val="bottom"/>
          </w:tcPr>
          <w:p>
            <w:pPr>
              <w:ind w:left="840"/>
              <w:spacing w:after="0"/>
              <w:rPr>
                <w:sz w:val="20"/>
                <w:szCs w:val="20"/>
                <w:color w:val="auto"/>
              </w:rPr>
            </w:pPr>
            <w:r>
              <w:rPr>
                <w:rFonts w:ascii="Times New Roman" w:cs="Times New Roman" w:eastAsia="Times New Roman" w:hAnsi="Times New Roman"/>
                <w:sz w:val="15"/>
                <w:szCs w:val="15"/>
                <w:color w:val="auto"/>
              </w:rPr>
              <w:t>Idaho</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MVH Research, LLC</w:t>
            </w:r>
          </w:p>
        </w:tc>
        <w:tc>
          <w:tcPr>
            <w:tcW w:w="2140" w:type="dxa"/>
            <w:vAlign w:val="bottom"/>
          </w:tcPr>
          <w:p>
            <w:pPr>
              <w:ind w:left="840"/>
              <w:spacing w:after="0"/>
              <w:rPr>
                <w:sz w:val="20"/>
                <w:szCs w:val="20"/>
                <w:color w:val="auto"/>
              </w:rPr>
            </w:pPr>
            <w:r>
              <w:rPr>
                <w:rFonts w:ascii="Times New Roman" w:cs="Times New Roman" w:eastAsia="Times New Roman" w:hAnsi="Times New Roman"/>
                <w:sz w:val="15"/>
                <w:szCs w:val="15"/>
                <w:color w:val="auto"/>
              </w:rPr>
              <w:t>Idaho</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MVH SNF Holding, LLC</w:t>
            </w:r>
          </w:p>
        </w:tc>
        <w:tc>
          <w:tcPr>
            <w:tcW w:w="2140" w:type="dxa"/>
            <w:vAlign w:val="bottom"/>
          </w:tcPr>
          <w:p>
            <w:pPr>
              <w:ind w:left="840"/>
              <w:spacing w:after="0"/>
              <w:rPr>
                <w:sz w:val="20"/>
                <w:szCs w:val="20"/>
                <w:color w:val="auto"/>
              </w:rPr>
            </w:pPr>
            <w:r>
              <w:rPr>
                <w:rFonts w:ascii="Times New Roman" w:cs="Times New Roman" w:eastAsia="Times New Roman" w:hAnsi="Times New Roman"/>
                <w:sz w:val="15"/>
                <w:szCs w:val="15"/>
                <w:color w:val="auto"/>
              </w:rPr>
              <w:t>Idaho</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MVH Surgical Specialists, LLC</w:t>
            </w:r>
          </w:p>
        </w:tc>
        <w:tc>
          <w:tcPr>
            <w:tcW w:w="2140" w:type="dxa"/>
            <w:vAlign w:val="bottom"/>
          </w:tcPr>
          <w:p>
            <w:pPr>
              <w:ind w:left="840"/>
              <w:spacing w:after="0"/>
              <w:rPr>
                <w:sz w:val="20"/>
                <w:szCs w:val="20"/>
                <w:color w:val="auto"/>
              </w:rPr>
            </w:pPr>
            <w:r>
              <w:rPr>
                <w:rFonts w:ascii="Times New Roman" w:cs="Times New Roman" w:eastAsia="Times New Roman" w:hAnsi="Times New Roman"/>
                <w:sz w:val="15"/>
                <w:szCs w:val="15"/>
                <w:color w:val="auto"/>
              </w:rPr>
              <w:t>Idaho</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40" w:top="972" w:right="339" w:bottom="1440" w:gutter="0" w:footer="0" w:header="0"/>
        </w:sectPr>
      </w:pPr>
    </w:p>
    <w:bookmarkStart w:id="93" w:name="page94"/>
    <w:bookmarkEnd w:id="9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540" w:type="dxa"/>
            <w:vAlign w:val="bottom"/>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rPr>
              <w:t>Entity Name</w:t>
            </w:r>
          </w:p>
        </w:tc>
        <w:tc>
          <w:tcPr>
            <w:tcW w:w="2160" w:type="dxa"/>
            <w:vAlign w:val="bottom"/>
          </w:tcPr>
          <w:p>
            <w:pPr>
              <w:ind w:left="860"/>
              <w:spacing w:after="0"/>
              <w:rPr>
                <w:sz w:val="20"/>
                <w:szCs w:val="20"/>
                <w:color w:val="auto"/>
              </w:rPr>
            </w:pPr>
            <w:r>
              <w:rPr>
                <w:rFonts w:ascii="Times New Roman" w:cs="Times New Roman" w:eastAsia="Times New Roman" w:hAnsi="Times New Roman"/>
                <w:sz w:val="15"/>
                <w:szCs w:val="15"/>
                <w:b w:val="1"/>
                <w:bCs w:val="1"/>
                <w:color w:val="auto"/>
              </w:rPr>
              <w:t>Jurisdiction of</w:t>
            </w:r>
          </w:p>
        </w:tc>
        <w:tc>
          <w:tcPr>
            <w:tcW w:w="4520" w:type="dxa"/>
            <w:vAlign w:val="bottom"/>
            <w:vMerge w:val="restart"/>
          </w:tcPr>
          <w:p>
            <w:pPr>
              <w:ind w:left="320"/>
              <w:spacing w:after="0"/>
              <w:rPr>
                <w:sz w:val="20"/>
                <w:szCs w:val="20"/>
                <w:color w:val="auto"/>
              </w:rPr>
            </w:pPr>
            <w:r>
              <w:rPr>
                <w:rFonts w:ascii="Times New Roman" w:cs="Times New Roman" w:eastAsia="Times New Roman" w:hAnsi="Times New Roman"/>
                <w:sz w:val="15"/>
                <w:szCs w:val="15"/>
                <w:b w:val="1"/>
                <w:bCs w:val="1"/>
                <w:color w:val="auto"/>
              </w:rPr>
              <w:t>Doing Business As</w:t>
            </w:r>
          </w:p>
        </w:tc>
        <w:tc>
          <w:tcPr>
            <w:tcW w:w="0" w:type="dxa"/>
            <w:vAlign w:val="bottom"/>
          </w:tcPr>
          <w:p>
            <w:pPr>
              <w:spacing w:after="0"/>
              <w:rPr>
                <w:sz w:val="1"/>
                <w:szCs w:val="1"/>
                <w:color w:val="auto"/>
              </w:rPr>
            </w:pPr>
          </w:p>
        </w:tc>
      </w:tr>
      <w:tr>
        <w:trPr>
          <w:trHeight w:val="205"/>
        </w:trPr>
        <w:tc>
          <w:tcPr>
            <w:tcW w:w="4540" w:type="dxa"/>
            <w:vAlign w:val="bottom"/>
            <w:tcBorders>
              <w:bottom w:val="single" w:sz="8" w:color="auto"/>
            </w:tcBorders>
            <w:vMerge w:val="continue"/>
          </w:tcPr>
          <w:p>
            <w:pPr>
              <w:spacing w:after="0"/>
              <w:rPr>
                <w:sz w:val="17"/>
                <w:szCs w:val="17"/>
                <w:color w:val="auto"/>
              </w:rPr>
            </w:pPr>
          </w:p>
        </w:tc>
        <w:tc>
          <w:tcPr>
            <w:tcW w:w="216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5"/>
                <w:szCs w:val="15"/>
                <w:b w:val="1"/>
                <w:bCs w:val="1"/>
                <w:color w:val="auto"/>
              </w:rPr>
              <w:t>Organization</w:t>
            </w:r>
          </w:p>
        </w:tc>
        <w:tc>
          <w:tcPr>
            <w:tcW w:w="45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5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MVH Valencia, LLC</w:t>
            </w:r>
          </w:p>
        </w:tc>
        <w:tc>
          <w:tcPr>
            <w:tcW w:w="2160" w:type="dxa"/>
            <w:vAlign w:val="bottom"/>
          </w:tcPr>
          <w:p>
            <w:pPr>
              <w:ind w:left="860"/>
              <w:spacing w:after="0"/>
              <w:rPr>
                <w:sz w:val="20"/>
                <w:szCs w:val="20"/>
                <w:color w:val="auto"/>
              </w:rPr>
            </w:pPr>
            <w:r>
              <w:rPr>
                <w:rFonts w:ascii="Times New Roman" w:cs="Times New Roman" w:eastAsia="Times New Roman" w:hAnsi="Times New Roman"/>
                <w:sz w:val="15"/>
                <w:szCs w:val="15"/>
                <w:color w:val="auto"/>
              </w:rPr>
              <w:t>Idaho</w:t>
            </w:r>
          </w:p>
        </w:tc>
        <w:tc>
          <w:tcPr>
            <w:tcW w:w="4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5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National Surgical Hospitals, LLC</w:t>
            </w:r>
          </w:p>
        </w:tc>
        <w:tc>
          <w:tcPr>
            <w:tcW w:w="2160" w:type="dxa"/>
            <w:vAlign w:val="bottom"/>
          </w:tcPr>
          <w:p>
            <w:pPr>
              <w:ind w:left="860"/>
              <w:spacing w:after="0"/>
              <w:rPr>
                <w:sz w:val="20"/>
                <w:szCs w:val="20"/>
                <w:color w:val="auto"/>
              </w:rPr>
            </w:pPr>
            <w:r>
              <w:rPr>
                <w:rFonts w:ascii="Times New Roman" w:cs="Times New Roman" w:eastAsia="Times New Roman" w:hAnsi="Times New Roman"/>
                <w:sz w:val="15"/>
                <w:szCs w:val="15"/>
                <w:color w:val="auto"/>
              </w:rPr>
              <w:t>Delaware</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NeoSpine Surgery, LLC</w:t>
            </w:r>
          </w:p>
        </w:tc>
        <w:tc>
          <w:tcPr>
            <w:tcW w:w="2160" w:type="dxa"/>
            <w:vAlign w:val="bottom"/>
          </w:tcPr>
          <w:p>
            <w:pPr>
              <w:ind w:left="860"/>
              <w:spacing w:after="0"/>
              <w:rPr>
                <w:sz w:val="20"/>
                <w:szCs w:val="20"/>
                <w:color w:val="auto"/>
              </w:rPr>
            </w:pPr>
            <w:r>
              <w:rPr>
                <w:rFonts w:ascii="Times New Roman" w:cs="Times New Roman" w:eastAsia="Times New Roman" w:hAnsi="Times New Roman"/>
                <w:sz w:val="15"/>
                <w:szCs w:val="15"/>
                <w:color w:val="auto"/>
              </w:rPr>
              <w:t>Delaware</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NorCal Orthopedic Surgery Center, LLC</w:t>
            </w:r>
          </w:p>
        </w:tc>
        <w:tc>
          <w:tcPr>
            <w:tcW w:w="2160" w:type="dxa"/>
            <w:vAlign w:val="bottom"/>
          </w:tcPr>
          <w:p>
            <w:pPr>
              <w:ind w:left="860"/>
              <w:spacing w:after="0"/>
              <w:rPr>
                <w:sz w:val="20"/>
                <w:szCs w:val="20"/>
                <w:color w:val="auto"/>
              </w:rPr>
            </w:pPr>
            <w:r>
              <w:rPr>
                <w:rFonts w:ascii="Times New Roman" w:cs="Times New Roman" w:eastAsia="Times New Roman" w:hAnsi="Times New Roman"/>
                <w:sz w:val="15"/>
                <w:szCs w:val="15"/>
                <w:color w:val="auto"/>
              </w:rPr>
              <w:t>California</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North Carolina Specialty Hospital, LLC</w:t>
            </w:r>
          </w:p>
        </w:tc>
        <w:tc>
          <w:tcPr>
            <w:tcW w:w="2160" w:type="dxa"/>
            <w:vAlign w:val="bottom"/>
          </w:tcPr>
          <w:p>
            <w:pPr>
              <w:ind w:left="860"/>
              <w:spacing w:after="0"/>
              <w:rPr>
                <w:sz w:val="20"/>
                <w:szCs w:val="20"/>
                <w:color w:val="auto"/>
              </w:rPr>
            </w:pPr>
            <w:r>
              <w:rPr>
                <w:rFonts w:ascii="Times New Roman" w:cs="Times New Roman" w:eastAsia="Times New Roman" w:hAnsi="Times New Roman"/>
                <w:sz w:val="15"/>
                <w:szCs w:val="15"/>
                <w:color w:val="auto"/>
              </w:rPr>
              <w:t>North Carolina</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North Dakota Surgery Center, LLC</w:t>
            </w:r>
          </w:p>
        </w:tc>
        <w:tc>
          <w:tcPr>
            <w:tcW w:w="2160" w:type="dxa"/>
            <w:vAlign w:val="bottom"/>
          </w:tcPr>
          <w:p>
            <w:pPr>
              <w:ind w:left="860"/>
              <w:spacing w:after="0"/>
              <w:rPr>
                <w:sz w:val="20"/>
                <w:szCs w:val="20"/>
                <w:color w:val="auto"/>
              </w:rPr>
            </w:pPr>
            <w:r>
              <w:rPr>
                <w:rFonts w:ascii="Times New Roman" w:cs="Times New Roman" w:eastAsia="Times New Roman" w:hAnsi="Times New Roman"/>
                <w:sz w:val="15"/>
                <w:szCs w:val="15"/>
                <w:color w:val="auto"/>
              </w:rPr>
              <w:t>Delaware</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North Idaho Day Surgery, LLC</w:t>
            </w:r>
          </w:p>
        </w:tc>
        <w:tc>
          <w:tcPr>
            <w:tcW w:w="2160" w:type="dxa"/>
            <w:vAlign w:val="bottom"/>
          </w:tcPr>
          <w:p>
            <w:pPr>
              <w:ind w:left="860"/>
              <w:spacing w:after="0"/>
              <w:rPr>
                <w:sz w:val="20"/>
                <w:szCs w:val="20"/>
                <w:color w:val="auto"/>
              </w:rPr>
            </w:pPr>
            <w:r>
              <w:rPr>
                <w:rFonts w:ascii="Times New Roman" w:cs="Times New Roman" w:eastAsia="Times New Roman" w:hAnsi="Times New Roman"/>
                <w:sz w:val="15"/>
                <w:szCs w:val="15"/>
                <w:color w:val="auto"/>
              </w:rPr>
              <w:t>Idaho</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North Shore Surgi-Center, Inc.</w:t>
            </w:r>
          </w:p>
        </w:tc>
        <w:tc>
          <w:tcPr>
            <w:tcW w:w="2160" w:type="dxa"/>
            <w:vAlign w:val="bottom"/>
          </w:tcPr>
          <w:p>
            <w:pPr>
              <w:ind w:left="860"/>
              <w:spacing w:after="0"/>
              <w:rPr>
                <w:sz w:val="20"/>
                <w:szCs w:val="20"/>
                <w:color w:val="auto"/>
              </w:rPr>
            </w:pPr>
            <w:r>
              <w:rPr>
                <w:rFonts w:ascii="Times New Roman" w:cs="Times New Roman" w:eastAsia="Times New Roman" w:hAnsi="Times New Roman"/>
                <w:sz w:val="15"/>
                <w:szCs w:val="15"/>
                <w:color w:val="auto"/>
              </w:rPr>
              <w:t>New York</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Northeast Atlanta Vascular Care, LLC</w:t>
            </w:r>
          </w:p>
        </w:tc>
        <w:tc>
          <w:tcPr>
            <w:tcW w:w="2160" w:type="dxa"/>
            <w:vAlign w:val="bottom"/>
          </w:tcPr>
          <w:p>
            <w:pPr>
              <w:ind w:left="860"/>
              <w:spacing w:after="0"/>
              <w:rPr>
                <w:sz w:val="20"/>
                <w:szCs w:val="20"/>
                <w:color w:val="auto"/>
              </w:rPr>
            </w:pPr>
            <w:r>
              <w:rPr>
                <w:rFonts w:ascii="Times New Roman" w:cs="Times New Roman" w:eastAsia="Times New Roman" w:hAnsi="Times New Roman"/>
                <w:sz w:val="15"/>
                <w:szCs w:val="15"/>
                <w:color w:val="auto"/>
              </w:rPr>
              <w:t>Georgia</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Northwest Ambulatory Surgery Services, LLC</w:t>
            </w:r>
          </w:p>
        </w:tc>
        <w:tc>
          <w:tcPr>
            <w:tcW w:w="2160" w:type="dxa"/>
            <w:vAlign w:val="bottom"/>
          </w:tcPr>
          <w:p>
            <w:pPr>
              <w:ind w:left="860"/>
              <w:spacing w:after="0"/>
              <w:rPr>
                <w:sz w:val="20"/>
                <w:szCs w:val="20"/>
                <w:color w:val="auto"/>
              </w:rPr>
            </w:pPr>
            <w:r>
              <w:rPr>
                <w:rFonts w:ascii="Times New Roman" w:cs="Times New Roman" w:eastAsia="Times New Roman" w:hAnsi="Times New Roman"/>
                <w:sz w:val="15"/>
                <w:szCs w:val="15"/>
                <w:color w:val="auto"/>
              </w:rPr>
              <w:t>Washington</w:t>
            </w:r>
          </w:p>
        </w:tc>
        <w:tc>
          <w:tcPr>
            <w:tcW w:w="452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Bellingham Ambulatory Surgery Center</w:t>
            </w:r>
          </w:p>
        </w:tc>
        <w:tc>
          <w:tcPr>
            <w:tcW w:w="0" w:type="dxa"/>
            <w:vAlign w:val="bottom"/>
          </w:tcPr>
          <w:p>
            <w:pPr>
              <w:spacing w:after="0"/>
              <w:rPr>
                <w:sz w:val="1"/>
                <w:szCs w:val="1"/>
                <w:color w:val="auto"/>
              </w:rPr>
            </w:pPr>
          </w:p>
        </w:tc>
      </w:tr>
      <w:tr>
        <w:trPr>
          <w:trHeight w:val="206"/>
        </w:trPr>
        <w:tc>
          <w:tcPr>
            <w:tcW w:w="45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Northwest Atlanta Vascular Care, LLC</w:t>
            </w:r>
          </w:p>
        </w:tc>
        <w:tc>
          <w:tcPr>
            <w:tcW w:w="2160" w:type="dxa"/>
            <w:vAlign w:val="bottom"/>
          </w:tcPr>
          <w:p>
            <w:pPr>
              <w:ind w:left="860"/>
              <w:spacing w:after="0"/>
              <w:rPr>
                <w:sz w:val="20"/>
                <w:szCs w:val="20"/>
                <w:color w:val="auto"/>
              </w:rPr>
            </w:pPr>
            <w:r>
              <w:rPr>
                <w:rFonts w:ascii="Times New Roman" w:cs="Times New Roman" w:eastAsia="Times New Roman" w:hAnsi="Times New Roman"/>
                <w:sz w:val="15"/>
                <w:szCs w:val="15"/>
                <w:color w:val="auto"/>
              </w:rPr>
              <w:t>Georgia</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NovaMed Acquisition Company, LLC</w:t>
            </w:r>
          </w:p>
        </w:tc>
        <w:tc>
          <w:tcPr>
            <w:tcW w:w="2160" w:type="dxa"/>
            <w:vAlign w:val="bottom"/>
          </w:tcPr>
          <w:p>
            <w:pPr>
              <w:ind w:left="860"/>
              <w:spacing w:after="0"/>
              <w:rPr>
                <w:sz w:val="20"/>
                <w:szCs w:val="20"/>
                <w:color w:val="auto"/>
              </w:rPr>
            </w:pPr>
            <w:r>
              <w:rPr>
                <w:rFonts w:ascii="Times New Roman" w:cs="Times New Roman" w:eastAsia="Times New Roman" w:hAnsi="Times New Roman"/>
                <w:sz w:val="15"/>
                <w:szCs w:val="15"/>
                <w:color w:val="auto"/>
              </w:rPr>
              <w:t>Delaware</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NovaMed Eye Surgery Center of North County, LLC</w:t>
            </w:r>
          </w:p>
        </w:tc>
        <w:tc>
          <w:tcPr>
            <w:tcW w:w="2160" w:type="dxa"/>
            <w:vAlign w:val="bottom"/>
          </w:tcPr>
          <w:p>
            <w:pPr>
              <w:ind w:left="860"/>
              <w:spacing w:after="0"/>
              <w:rPr>
                <w:sz w:val="20"/>
                <w:szCs w:val="20"/>
                <w:color w:val="auto"/>
              </w:rPr>
            </w:pPr>
            <w:r>
              <w:rPr>
                <w:rFonts w:ascii="Times New Roman" w:cs="Times New Roman" w:eastAsia="Times New Roman" w:hAnsi="Times New Roman"/>
                <w:sz w:val="15"/>
                <w:szCs w:val="15"/>
                <w:color w:val="auto"/>
              </w:rPr>
              <w:t>Delaware</w:t>
            </w:r>
          </w:p>
        </w:tc>
        <w:tc>
          <w:tcPr>
            <w:tcW w:w="452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Woodcrest Surgery Center</w:t>
            </w:r>
          </w:p>
        </w:tc>
        <w:tc>
          <w:tcPr>
            <w:tcW w:w="0" w:type="dxa"/>
            <w:vAlign w:val="bottom"/>
          </w:tcPr>
          <w:p>
            <w:pPr>
              <w:spacing w:after="0"/>
              <w:rPr>
                <w:sz w:val="1"/>
                <w:szCs w:val="1"/>
                <w:color w:val="auto"/>
              </w:rPr>
            </w:pPr>
          </w:p>
        </w:tc>
      </w:tr>
      <w:tr>
        <w:trPr>
          <w:trHeight w:val="206"/>
        </w:trPr>
        <w:tc>
          <w:tcPr>
            <w:tcW w:w="45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NovaMed Eye Surgery Center of Overland Park, LLC</w:t>
            </w:r>
          </w:p>
        </w:tc>
        <w:tc>
          <w:tcPr>
            <w:tcW w:w="2160" w:type="dxa"/>
            <w:vAlign w:val="bottom"/>
          </w:tcPr>
          <w:p>
            <w:pPr>
              <w:ind w:left="860"/>
              <w:spacing w:after="0"/>
              <w:rPr>
                <w:sz w:val="20"/>
                <w:szCs w:val="20"/>
                <w:color w:val="auto"/>
              </w:rPr>
            </w:pPr>
            <w:r>
              <w:rPr>
                <w:rFonts w:ascii="Times New Roman" w:cs="Times New Roman" w:eastAsia="Times New Roman" w:hAnsi="Times New Roman"/>
                <w:sz w:val="15"/>
                <w:szCs w:val="15"/>
                <w:color w:val="auto"/>
              </w:rPr>
              <w:t>Delaware</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NovaMed Management of Kansas City, LLC</w:t>
            </w:r>
          </w:p>
        </w:tc>
        <w:tc>
          <w:tcPr>
            <w:tcW w:w="2160" w:type="dxa"/>
            <w:vAlign w:val="bottom"/>
          </w:tcPr>
          <w:p>
            <w:pPr>
              <w:ind w:left="860"/>
              <w:spacing w:after="0"/>
              <w:rPr>
                <w:sz w:val="20"/>
                <w:szCs w:val="20"/>
                <w:color w:val="auto"/>
              </w:rPr>
            </w:pPr>
            <w:r>
              <w:rPr>
                <w:rFonts w:ascii="Times New Roman" w:cs="Times New Roman" w:eastAsia="Times New Roman" w:hAnsi="Times New Roman"/>
                <w:sz w:val="15"/>
                <w:szCs w:val="15"/>
                <w:color w:val="auto"/>
              </w:rPr>
              <w:t>Missouri</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NovaMed Management Services, LLC</w:t>
            </w:r>
          </w:p>
        </w:tc>
        <w:tc>
          <w:tcPr>
            <w:tcW w:w="2160" w:type="dxa"/>
            <w:vAlign w:val="bottom"/>
          </w:tcPr>
          <w:p>
            <w:pPr>
              <w:ind w:left="860"/>
              <w:spacing w:after="0"/>
              <w:rPr>
                <w:sz w:val="20"/>
                <w:szCs w:val="20"/>
                <w:color w:val="auto"/>
              </w:rPr>
            </w:pPr>
            <w:r>
              <w:rPr>
                <w:rFonts w:ascii="Times New Roman" w:cs="Times New Roman" w:eastAsia="Times New Roman" w:hAnsi="Times New Roman"/>
                <w:sz w:val="15"/>
                <w:szCs w:val="15"/>
                <w:color w:val="auto"/>
              </w:rPr>
              <w:t>Delaware</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NovaMed of Bethlehem, LLC</w:t>
            </w:r>
          </w:p>
        </w:tc>
        <w:tc>
          <w:tcPr>
            <w:tcW w:w="2160" w:type="dxa"/>
            <w:vAlign w:val="bottom"/>
          </w:tcPr>
          <w:p>
            <w:pPr>
              <w:ind w:left="860"/>
              <w:spacing w:after="0"/>
              <w:rPr>
                <w:sz w:val="20"/>
                <w:szCs w:val="20"/>
                <w:color w:val="auto"/>
              </w:rPr>
            </w:pPr>
            <w:r>
              <w:rPr>
                <w:rFonts w:ascii="Times New Roman" w:cs="Times New Roman" w:eastAsia="Times New Roman" w:hAnsi="Times New Roman"/>
                <w:sz w:val="15"/>
                <w:szCs w:val="15"/>
                <w:color w:val="auto"/>
              </w:rPr>
              <w:t>Delaware</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NovaMed of Laredo, Inc.</w:t>
            </w:r>
          </w:p>
        </w:tc>
        <w:tc>
          <w:tcPr>
            <w:tcW w:w="2160" w:type="dxa"/>
            <w:vAlign w:val="bottom"/>
          </w:tcPr>
          <w:p>
            <w:pPr>
              <w:ind w:left="860"/>
              <w:spacing w:after="0"/>
              <w:rPr>
                <w:sz w:val="20"/>
                <w:szCs w:val="20"/>
                <w:color w:val="auto"/>
              </w:rPr>
            </w:pPr>
            <w:r>
              <w:rPr>
                <w:rFonts w:ascii="Times New Roman" w:cs="Times New Roman" w:eastAsia="Times New Roman" w:hAnsi="Times New Roman"/>
                <w:sz w:val="15"/>
                <w:szCs w:val="15"/>
                <w:color w:val="auto"/>
              </w:rPr>
              <w:t>Delaware</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NovaMed of Lebanon, LLC</w:t>
            </w:r>
          </w:p>
        </w:tc>
        <w:tc>
          <w:tcPr>
            <w:tcW w:w="2160" w:type="dxa"/>
            <w:vAlign w:val="bottom"/>
          </w:tcPr>
          <w:p>
            <w:pPr>
              <w:ind w:left="860"/>
              <w:spacing w:after="0"/>
              <w:rPr>
                <w:sz w:val="20"/>
                <w:szCs w:val="20"/>
                <w:color w:val="auto"/>
              </w:rPr>
            </w:pPr>
            <w:r>
              <w:rPr>
                <w:rFonts w:ascii="Times New Roman" w:cs="Times New Roman" w:eastAsia="Times New Roman" w:hAnsi="Times New Roman"/>
                <w:sz w:val="15"/>
                <w:szCs w:val="15"/>
                <w:color w:val="auto"/>
              </w:rPr>
              <w:t>Delaware</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NovaMed of San Antonio, LLC</w:t>
            </w:r>
          </w:p>
        </w:tc>
        <w:tc>
          <w:tcPr>
            <w:tcW w:w="2160" w:type="dxa"/>
            <w:vAlign w:val="bottom"/>
          </w:tcPr>
          <w:p>
            <w:pPr>
              <w:ind w:left="860"/>
              <w:spacing w:after="0"/>
              <w:rPr>
                <w:sz w:val="20"/>
                <w:szCs w:val="20"/>
                <w:color w:val="auto"/>
              </w:rPr>
            </w:pPr>
            <w:r>
              <w:rPr>
                <w:rFonts w:ascii="Times New Roman" w:cs="Times New Roman" w:eastAsia="Times New Roman" w:hAnsi="Times New Roman"/>
                <w:sz w:val="15"/>
                <w:szCs w:val="15"/>
                <w:color w:val="auto"/>
              </w:rPr>
              <w:t>Delaware</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NovaMed of Texas, LLC</w:t>
            </w:r>
          </w:p>
        </w:tc>
        <w:tc>
          <w:tcPr>
            <w:tcW w:w="2160" w:type="dxa"/>
            <w:vAlign w:val="bottom"/>
          </w:tcPr>
          <w:p>
            <w:pPr>
              <w:ind w:left="860"/>
              <w:spacing w:after="0"/>
              <w:rPr>
                <w:sz w:val="20"/>
                <w:szCs w:val="20"/>
                <w:color w:val="auto"/>
              </w:rPr>
            </w:pPr>
            <w:r>
              <w:rPr>
                <w:rFonts w:ascii="Times New Roman" w:cs="Times New Roman" w:eastAsia="Times New Roman" w:hAnsi="Times New Roman"/>
                <w:sz w:val="15"/>
                <w:szCs w:val="15"/>
                <w:color w:val="auto"/>
              </w:rPr>
              <w:t>Delaware</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NovaMed of Wisconsin, LLC</w:t>
            </w:r>
          </w:p>
        </w:tc>
        <w:tc>
          <w:tcPr>
            <w:tcW w:w="2160" w:type="dxa"/>
            <w:vAlign w:val="bottom"/>
          </w:tcPr>
          <w:p>
            <w:pPr>
              <w:ind w:left="860"/>
              <w:spacing w:after="0"/>
              <w:rPr>
                <w:sz w:val="20"/>
                <w:szCs w:val="20"/>
                <w:color w:val="auto"/>
              </w:rPr>
            </w:pPr>
            <w:r>
              <w:rPr>
                <w:rFonts w:ascii="Times New Roman" w:cs="Times New Roman" w:eastAsia="Times New Roman" w:hAnsi="Times New Roman"/>
                <w:sz w:val="15"/>
                <w:szCs w:val="15"/>
                <w:color w:val="auto"/>
              </w:rPr>
              <w:t>Delaware</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NovaMed Surgery Center of Baton Rouge, LLC</w:t>
            </w:r>
          </w:p>
        </w:tc>
        <w:tc>
          <w:tcPr>
            <w:tcW w:w="2160" w:type="dxa"/>
            <w:vAlign w:val="bottom"/>
          </w:tcPr>
          <w:p>
            <w:pPr>
              <w:ind w:left="860"/>
              <w:spacing w:after="0"/>
              <w:rPr>
                <w:sz w:val="20"/>
                <w:szCs w:val="20"/>
                <w:color w:val="auto"/>
              </w:rPr>
            </w:pPr>
            <w:r>
              <w:rPr>
                <w:rFonts w:ascii="Times New Roman" w:cs="Times New Roman" w:eastAsia="Times New Roman" w:hAnsi="Times New Roman"/>
                <w:sz w:val="15"/>
                <w:szCs w:val="15"/>
                <w:color w:val="auto"/>
              </w:rPr>
              <w:t>Delaware</w:t>
            </w:r>
          </w:p>
        </w:tc>
        <w:tc>
          <w:tcPr>
            <w:tcW w:w="452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Interventional Pain Management Center</w:t>
            </w:r>
          </w:p>
        </w:tc>
        <w:tc>
          <w:tcPr>
            <w:tcW w:w="0" w:type="dxa"/>
            <w:vAlign w:val="bottom"/>
          </w:tcPr>
          <w:p>
            <w:pPr>
              <w:spacing w:after="0"/>
              <w:rPr>
                <w:sz w:val="1"/>
                <w:szCs w:val="1"/>
                <w:color w:val="auto"/>
              </w:rPr>
            </w:pPr>
          </w:p>
        </w:tc>
      </w:tr>
      <w:tr>
        <w:trPr>
          <w:trHeight w:val="206"/>
        </w:trPr>
        <w:tc>
          <w:tcPr>
            <w:tcW w:w="45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NovaMed Surgery Center of Chattanooga, LLC</w:t>
            </w:r>
          </w:p>
        </w:tc>
        <w:tc>
          <w:tcPr>
            <w:tcW w:w="2160" w:type="dxa"/>
            <w:vAlign w:val="bottom"/>
          </w:tcPr>
          <w:p>
            <w:pPr>
              <w:ind w:left="860"/>
              <w:spacing w:after="0"/>
              <w:rPr>
                <w:sz w:val="20"/>
                <w:szCs w:val="20"/>
                <w:color w:val="auto"/>
              </w:rPr>
            </w:pPr>
            <w:r>
              <w:rPr>
                <w:rFonts w:ascii="Times New Roman" w:cs="Times New Roman" w:eastAsia="Times New Roman" w:hAnsi="Times New Roman"/>
                <w:sz w:val="15"/>
                <w:szCs w:val="15"/>
                <w:color w:val="auto"/>
              </w:rPr>
              <w:t>Delaware</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NovaMed Surgery Center of Chicago-Northshore, LLC</w:t>
            </w:r>
          </w:p>
        </w:tc>
        <w:tc>
          <w:tcPr>
            <w:tcW w:w="2160" w:type="dxa"/>
            <w:vAlign w:val="bottom"/>
          </w:tcPr>
          <w:p>
            <w:pPr>
              <w:ind w:left="860"/>
              <w:spacing w:after="0"/>
              <w:rPr>
                <w:sz w:val="20"/>
                <w:szCs w:val="20"/>
                <w:color w:val="auto"/>
              </w:rPr>
            </w:pPr>
            <w:r>
              <w:rPr>
                <w:rFonts w:ascii="Times New Roman" w:cs="Times New Roman" w:eastAsia="Times New Roman" w:hAnsi="Times New Roman"/>
                <w:sz w:val="15"/>
                <w:szCs w:val="15"/>
                <w:color w:val="auto"/>
              </w:rPr>
              <w:t>Delaware</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NovaMed Surgery Center of Colorado Springs, LLC</w:t>
            </w:r>
          </w:p>
        </w:tc>
        <w:tc>
          <w:tcPr>
            <w:tcW w:w="2160" w:type="dxa"/>
            <w:vAlign w:val="bottom"/>
          </w:tcPr>
          <w:p>
            <w:pPr>
              <w:ind w:left="860"/>
              <w:spacing w:after="0"/>
              <w:rPr>
                <w:sz w:val="20"/>
                <w:szCs w:val="20"/>
                <w:color w:val="auto"/>
              </w:rPr>
            </w:pPr>
            <w:r>
              <w:rPr>
                <w:rFonts w:ascii="Times New Roman" w:cs="Times New Roman" w:eastAsia="Times New Roman" w:hAnsi="Times New Roman"/>
                <w:sz w:val="15"/>
                <w:szCs w:val="15"/>
                <w:color w:val="auto"/>
              </w:rPr>
              <w:t>Delaware</w:t>
            </w:r>
          </w:p>
        </w:tc>
        <w:tc>
          <w:tcPr>
            <w:tcW w:w="452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Premier Surgery Center</w:t>
            </w:r>
          </w:p>
        </w:tc>
        <w:tc>
          <w:tcPr>
            <w:tcW w:w="0" w:type="dxa"/>
            <w:vAlign w:val="bottom"/>
          </w:tcPr>
          <w:p>
            <w:pPr>
              <w:spacing w:after="0"/>
              <w:rPr>
                <w:sz w:val="1"/>
                <w:szCs w:val="1"/>
                <w:color w:val="auto"/>
              </w:rPr>
            </w:pPr>
          </w:p>
        </w:tc>
      </w:tr>
      <w:tr>
        <w:trPr>
          <w:trHeight w:val="206"/>
        </w:trPr>
        <w:tc>
          <w:tcPr>
            <w:tcW w:w="45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NovaMed Surgery Center of Denver, LLC</w:t>
            </w:r>
          </w:p>
        </w:tc>
        <w:tc>
          <w:tcPr>
            <w:tcW w:w="2160" w:type="dxa"/>
            <w:vAlign w:val="bottom"/>
          </w:tcPr>
          <w:p>
            <w:pPr>
              <w:ind w:left="860"/>
              <w:spacing w:after="0"/>
              <w:rPr>
                <w:sz w:val="20"/>
                <w:szCs w:val="20"/>
                <w:color w:val="auto"/>
              </w:rPr>
            </w:pPr>
            <w:r>
              <w:rPr>
                <w:rFonts w:ascii="Times New Roman" w:cs="Times New Roman" w:eastAsia="Times New Roman" w:hAnsi="Times New Roman"/>
                <w:sz w:val="15"/>
                <w:szCs w:val="15"/>
                <w:color w:val="auto"/>
              </w:rPr>
              <w:t>Delaware</w:t>
            </w:r>
          </w:p>
        </w:tc>
        <w:tc>
          <w:tcPr>
            <w:tcW w:w="452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Cherry Hills Surgery Center</w:t>
            </w:r>
          </w:p>
        </w:tc>
        <w:tc>
          <w:tcPr>
            <w:tcW w:w="0" w:type="dxa"/>
            <w:vAlign w:val="bottom"/>
          </w:tcPr>
          <w:p>
            <w:pPr>
              <w:spacing w:after="0"/>
              <w:rPr>
                <w:sz w:val="1"/>
                <w:szCs w:val="1"/>
                <w:color w:val="auto"/>
              </w:rPr>
            </w:pPr>
          </w:p>
        </w:tc>
      </w:tr>
      <w:tr>
        <w:trPr>
          <w:trHeight w:val="206"/>
        </w:trPr>
        <w:tc>
          <w:tcPr>
            <w:tcW w:w="45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NovaMed Surgery Center of Madison, Limited Partnership</w:t>
            </w:r>
          </w:p>
        </w:tc>
        <w:tc>
          <w:tcPr>
            <w:tcW w:w="2160" w:type="dxa"/>
            <w:vAlign w:val="bottom"/>
          </w:tcPr>
          <w:p>
            <w:pPr>
              <w:ind w:left="860"/>
              <w:spacing w:after="0"/>
              <w:rPr>
                <w:sz w:val="20"/>
                <w:szCs w:val="20"/>
                <w:color w:val="auto"/>
              </w:rPr>
            </w:pPr>
            <w:r>
              <w:rPr>
                <w:rFonts w:ascii="Times New Roman" w:cs="Times New Roman" w:eastAsia="Times New Roman" w:hAnsi="Times New Roman"/>
                <w:sz w:val="15"/>
                <w:szCs w:val="15"/>
                <w:color w:val="auto"/>
              </w:rPr>
              <w:t>Wisconsin</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NovaMed Surgery Center of Nashua, LLC</w:t>
            </w:r>
          </w:p>
        </w:tc>
        <w:tc>
          <w:tcPr>
            <w:tcW w:w="2160" w:type="dxa"/>
            <w:vAlign w:val="bottom"/>
          </w:tcPr>
          <w:p>
            <w:pPr>
              <w:ind w:left="860"/>
              <w:spacing w:after="0"/>
              <w:rPr>
                <w:sz w:val="20"/>
                <w:szCs w:val="20"/>
                <w:color w:val="auto"/>
              </w:rPr>
            </w:pPr>
            <w:r>
              <w:rPr>
                <w:rFonts w:ascii="Times New Roman" w:cs="Times New Roman" w:eastAsia="Times New Roman" w:hAnsi="Times New Roman"/>
                <w:sz w:val="15"/>
                <w:szCs w:val="15"/>
                <w:color w:val="auto"/>
              </w:rPr>
              <w:t>Delaware</w:t>
            </w:r>
          </w:p>
        </w:tc>
        <w:tc>
          <w:tcPr>
            <w:tcW w:w="452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Nashua Eye Surgery Center</w:t>
            </w:r>
          </w:p>
        </w:tc>
        <w:tc>
          <w:tcPr>
            <w:tcW w:w="0" w:type="dxa"/>
            <w:vAlign w:val="bottom"/>
          </w:tcPr>
          <w:p>
            <w:pPr>
              <w:spacing w:after="0"/>
              <w:rPr>
                <w:sz w:val="1"/>
                <w:szCs w:val="1"/>
                <w:color w:val="auto"/>
              </w:rPr>
            </w:pPr>
          </w:p>
        </w:tc>
      </w:tr>
      <w:tr>
        <w:trPr>
          <w:trHeight w:val="206"/>
        </w:trPr>
        <w:tc>
          <w:tcPr>
            <w:tcW w:w="45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NovaMed Surgery Center of Orlando, LLC</w:t>
            </w:r>
          </w:p>
        </w:tc>
        <w:tc>
          <w:tcPr>
            <w:tcW w:w="2160" w:type="dxa"/>
            <w:vAlign w:val="bottom"/>
          </w:tcPr>
          <w:p>
            <w:pPr>
              <w:ind w:left="860"/>
              <w:spacing w:after="0"/>
              <w:rPr>
                <w:sz w:val="20"/>
                <w:szCs w:val="20"/>
                <w:color w:val="auto"/>
              </w:rPr>
            </w:pPr>
            <w:r>
              <w:rPr>
                <w:rFonts w:ascii="Times New Roman" w:cs="Times New Roman" w:eastAsia="Times New Roman" w:hAnsi="Times New Roman"/>
                <w:sz w:val="15"/>
                <w:szCs w:val="15"/>
                <w:color w:val="auto"/>
              </w:rPr>
              <w:t>Delaware</w:t>
            </w:r>
          </w:p>
        </w:tc>
        <w:tc>
          <w:tcPr>
            <w:tcW w:w="452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Downtown Surgery Center</w:t>
            </w:r>
          </w:p>
        </w:tc>
        <w:tc>
          <w:tcPr>
            <w:tcW w:w="0" w:type="dxa"/>
            <w:vAlign w:val="bottom"/>
          </w:tcPr>
          <w:p>
            <w:pPr>
              <w:spacing w:after="0"/>
              <w:rPr>
                <w:sz w:val="1"/>
                <w:szCs w:val="1"/>
                <w:color w:val="auto"/>
              </w:rPr>
            </w:pPr>
          </w:p>
        </w:tc>
      </w:tr>
      <w:tr>
        <w:trPr>
          <w:trHeight w:val="206"/>
        </w:trPr>
        <w:tc>
          <w:tcPr>
            <w:tcW w:w="45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NovaMed Surgery Center of San Antonio, L.P.</w:t>
            </w:r>
          </w:p>
        </w:tc>
        <w:tc>
          <w:tcPr>
            <w:tcW w:w="2160" w:type="dxa"/>
            <w:vAlign w:val="bottom"/>
          </w:tcPr>
          <w:p>
            <w:pPr>
              <w:ind w:left="860"/>
              <w:spacing w:after="0"/>
              <w:rPr>
                <w:sz w:val="20"/>
                <w:szCs w:val="20"/>
                <w:color w:val="auto"/>
              </w:rPr>
            </w:pPr>
            <w:r>
              <w:rPr>
                <w:rFonts w:ascii="Times New Roman" w:cs="Times New Roman" w:eastAsia="Times New Roman" w:hAnsi="Times New Roman"/>
                <w:sz w:val="15"/>
                <w:szCs w:val="15"/>
                <w:color w:val="auto"/>
              </w:rPr>
              <w:t>Delaware</w:t>
            </w:r>
          </w:p>
        </w:tc>
        <w:tc>
          <w:tcPr>
            <w:tcW w:w="452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American Surgery Center</w:t>
            </w:r>
          </w:p>
        </w:tc>
        <w:tc>
          <w:tcPr>
            <w:tcW w:w="0" w:type="dxa"/>
            <w:vAlign w:val="bottom"/>
          </w:tcPr>
          <w:p>
            <w:pPr>
              <w:spacing w:after="0"/>
              <w:rPr>
                <w:sz w:val="1"/>
                <w:szCs w:val="1"/>
                <w:color w:val="auto"/>
              </w:rPr>
            </w:pPr>
          </w:p>
        </w:tc>
      </w:tr>
      <w:tr>
        <w:trPr>
          <w:trHeight w:val="206"/>
        </w:trPr>
        <w:tc>
          <w:tcPr>
            <w:tcW w:w="45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NovaMed Surgery Center of St. Peters, LLC</w:t>
            </w:r>
          </w:p>
        </w:tc>
        <w:tc>
          <w:tcPr>
            <w:tcW w:w="2160" w:type="dxa"/>
            <w:vAlign w:val="bottom"/>
          </w:tcPr>
          <w:p>
            <w:pPr>
              <w:ind w:left="860"/>
              <w:spacing w:after="0"/>
              <w:rPr>
                <w:sz w:val="20"/>
                <w:szCs w:val="20"/>
                <w:color w:val="auto"/>
              </w:rPr>
            </w:pPr>
            <w:r>
              <w:rPr>
                <w:rFonts w:ascii="Times New Roman" w:cs="Times New Roman" w:eastAsia="Times New Roman" w:hAnsi="Times New Roman"/>
                <w:sz w:val="15"/>
                <w:szCs w:val="15"/>
                <w:color w:val="auto"/>
              </w:rPr>
              <w:t>Delaware</w:t>
            </w:r>
          </w:p>
        </w:tc>
        <w:tc>
          <w:tcPr>
            <w:tcW w:w="452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St. Peters Ambulatory Surgery Center</w:t>
            </w:r>
          </w:p>
        </w:tc>
        <w:tc>
          <w:tcPr>
            <w:tcW w:w="0" w:type="dxa"/>
            <w:vAlign w:val="bottom"/>
          </w:tcPr>
          <w:p>
            <w:pPr>
              <w:spacing w:after="0"/>
              <w:rPr>
                <w:sz w:val="1"/>
                <w:szCs w:val="1"/>
                <w:color w:val="auto"/>
              </w:rPr>
            </w:pPr>
          </w:p>
        </w:tc>
      </w:tr>
      <w:tr>
        <w:trPr>
          <w:trHeight w:val="206"/>
        </w:trPr>
        <w:tc>
          <w:tcPr>
            <w:tcW w:w="45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NovaMed Surgery Center of Tyler, L.P.</w:t>
            </w:r>
          </w:p>
        </w:tc>
        <w:tc>
          <w:tcPr>
            <w:tcW w:w="2160" w:type="dxa"/>
            <w:vAlign w:val="bottom"/>
          </w:tcPr>
          <w:p>
            <w:pPr>
              <w:ind w:left="860"/>
              <w:spacing w:after="0"/>
              <w:rPr>
                <w:sz w:val="20"/>
                <w:szCs w:val="20"/>
                <w:color w:val="auto"/>
              </w:rPr>
            </w:pPr>
            <w:r>
              <w:rPr>
                <w:rFonts w:ascii="Times New Roman" w:cs="Times New Roman" w:eastAsia="Times New Roman" w:hAnsi="Times New Roman"/>
                <w:sz w:val="15"/>
                <w:szCs w:val="15"/>
                <w:color w:val="auto"/>
              </w:rPr>
              <w:t>Delaware</w:t>
            </w:r>
          </w:p>
        </w:tc>
        <w:tc>
          <w:tcPr>
            <w:tcW w:w="452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The Cataract Center of East Texas</w:t>
            </w:r>
          </w:p>
        </w:tc>
        <w:tc>
          <w:tcPr>
            <w:tcW w:w="0" w:type="dxa"/>
            <w:vAlign w:val="bottom"/>
          </w:tcPr>
          <w:p>
            <w:pPr>
              <w:spacing w:after="0"/>
              <w:rPr>
                <w:sz w:val="1"/>
                <w:szCs w:val="1"/>
                <w:color w:val="auto"/>
              </w:rPr>
            </w:pPr>
          </w:p>
        </w:tc>
      </w:tr>
      <w:tr>
        <w:trPr>
          <w:trHeight w:val="206"/>
        </w:trPr>
        <w:tc>
          <w:tcPr>
            <w:tcW w:w="45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NovaMed Surgery Center of Warrensburg, LLC</w:t>
            </w:r>
          </w:p>
        </w:tc>
        <w:tc>
          <w:tcPr>
            <w:tcW w:w="2160" w:type="dxa"/>
            <w:vAlign w:val="bottom"/>
          </w:tcPr>
          <w:p>
            <w:pPr>
              <w:ind w:left="860"/>
              <w:spacing w:after="0"/>
              <w:rPr>
                <w:sz w:val="20"/>
                <w:szCs w:val="20"/>
                <w:color w:val="auto"/>
              </w:rPr>
            </w:pPr>
            <w:r>
              <w:rPr>
                <w:rFonts w:ascii="Times New Roman" w:cs="Times New Roman" w:eastAsia="Times New Roman" w:hAnsi="Times New Roman"/>
                <w:sz w:val="15"/>
                <w:szCs w:val="15"/>
                <w:color w:val="auto"/>
              </w:rPr>
              <w:t>Delaware</w:t>
            </w:r>
          </w:p>
        </w:tc>
        <w:tc>
          <w:tcPr>
            <w:tcW w:w="452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Surgery Center of Warrensburg</w:t>
            </w:r>
          </w:p>
        </w:tc>
        <w:tc>
          <w:tcPr>
            <w:tcW w:w="0" w:type="dxa"/>
            <w:vAlign w:val="bottom"/>
          </w:tcPr>
          <w:p>
            <w:pPr>
              <w:spacing w:after="0"/>
              <w:rPr>
                <w:sz w:val="1"/>
                <w:szCs w:val="1"/>
                <w:color w:val="auto"/>
              </w:rPr>
            </w:pPr>
          </w:p>
        </w:tc>
      </w:tr>
      <w:tr>
        <w:trPr>
          <w:trHeight w:val="206"/>
        </w:trPr>
        <w:tc>
          <w:tcPr>
            <w:tcW w:w="454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452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Eye Surgery Center of Warrensburg</w:t>
            </w:r>
          </w:p>
        </w:tc>
        <w:tc>
          <w:tcPr>
            <w:tcW w:w="0" w:type="dxa"/>
            <w:vAlign w:val="bottom"/>
          </w:tcPr>
          <w:p>
            <w:pPr>
              <w:spacing w:after="0"/>
              <w:rPr>
                <w:sz w:val="1"/>
                <w:szCs w:val="1"/>
                <w:color w:val="auto"/>
              </w:rPr>
            </w:pPr>
          </w:p>
        </w:tc>
      </w:tr>
      <w:tr>
        <w:trPr>
          <w:trHeight w:val="206"/>
        </w:trPr>
        <w:tc>
          <w:tcPr>
            <w:tcW w:w="45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NovaMed, LLC</w:t>
            </w:r>
          </w:p>
        </w:tc>
        <w:tc>
          <w:tcPr>
            <w:tcW w:w="2160" w:type="dxa"/>
            <w:vAlign w:val="bottom"/>
          </w:tcPr>
          <w:p>
            <w:pPr>
              <w:ind w:left="860"/>
              <w:spacing w:after="0"/>
              <w:rPr>
                <w:sz w:val="20"/>
                <w:szCs w:val="20"/>
                <w:color w:val="auto"/>
              </w:rPr>
            </w:pPr>
            <w:r>
              <w:rPr>
                <w:rFonts w:ascii="Times New Roman" w:cs="Times New Roman" w:eastAsia="Times New Roman" w:hAnsi="Times New Roman"/>
                <w:sz w:val="15"/>
                <w:szCs w:val="15"/>
                <w:color w:val="auto"/>
              </w:rPr>
              <w:t>Delaware</w:t>
            </w:r>
          </w:p>
        </w:tc>
        <w:tc>
          <w:tcPr>
            <w:tcW w:w="452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Surgery Partners</w:t>
            </w:r>
          </w:p>
        </w:tc>
        <w:tc>
          <w:tcPr>
            <w:tcW w:w="0" w:type="dxa"/>
            <w:vAlign w:val="bottom"/>
          </w:tcPr>
          <w:p>
            <w:pPr>
              <w:spacing w:after="0"/>
              <w:rPr>
                <w:sz w:val="1"/>
                <w:szCs w:val="1"/>
                <w:color w:val="auto"/>
              </w:rPr>
            </w:pPr>
          </w:p>
        </w:tc>
      </w:tr>
      <w:tr>
        <w:trPr>
          <w:trHeight w:val="206"/>
        </w:trPr>
        <w:tc>
          <w:tcPr>
            <w:tcW w:w="45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NSH Bryan Hospital, Inc.</w:t>
            </w:r>
          </w:p>
        </w:tc>
        <w:tc>
          <w:tcPr>
            <w:tcW w:w="2160" w:type="dxa"/>
            <w:vAlign w:val="bottom"/>
          </w:tcPr>
          <w:p>
            <w:pPr>
              <w:ind w:left="860"/>
              <w:spacing w:after="0"/>
              <w:rPr>
                <w:sz w:val="20"/>
                <w:szCs w:val="20"/>
                <w:color w:val="auto"/>
              </w:rPr>
            </w:pPr>
            <w:r>
              <w:rPr>
                <w:rFonts w:ascii="Times New Roman" w:cs="Times New Roman" w:eastAsia="Times New Roman" w:hAnsi="Times New Roman"/>
                <w:sz w:val="15"/>
                <w:szCs w:val="15"/>
                <w:color w:val="auto"/>
              </w:rPr>
              <w:t>Texas</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NSH California, LLC</w:t>
            </w:r>
          </w:p>
        </w:tc>
        <w:tc>
          <w:tcPr>
            <w:tcW w:w="2160" w:type="dxa"/>
            <w:vAlign w:val="bottom"/>
          </w:tcPr>
          <w:p>
            <w:pPr>
              <w:ind w:left="860"/>
              <w:spacing w:after="0"/>
              <w:rPr>
                <w:sz w:val="20"/>
                <w:szCs w:val="20"/>
                <w:color w:val="auto"/>
              </w:rPr>
            </w:pPr>
            <w:r>
              <w:rPr>
                <w:rFonts w:ascii="Times New Roman" w:cs="Times New Roman" w:eastAsia="Times New Roman" w:hAnsi="Times New Roman"/>
                <w:sz w:val="15"/>
                <w:szCs w:val="15"/>
                <w:color w:val="auto"/>
              </w:rPr>
              <w:t>California</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NSH Durham, Inc.</w:t>
            </w:r>
          </w:p>
        </w:tc>
        <w:tc>
          <w:tcPr>
            <w:tcW w:w="2160" w:type="dxa"/>
            <w:vAlign w:val="bottom"/>
          </w:tcPr>
          <w:p>
            <w:pPr>
              <w:ind w:left="860"/>
              <w:spacing w:after="0"/>
              <w:rPr>
                <w:sz w:val="20"/>
                <w:szCs w:val="20"/>
                <w:color w:val="auto"/>
              </w:rPr>
            </w:pPr>
            <w:r>
              <w:rPr>
                <w:rFonts w:ascii="Times New Roman" w:cs="Times New Roman" w:eastAsia="Times New Roman" w:hAnsi="Times New Roman"/>
                <w:sz w:val="15"/>
                <w:szCs w:val="15"/>
                <w:color w:val="auto"/>
              </w:rPr>
              <w:t>North Carolina</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NSH El Paso Specialty Hospital, Inc.</w:t>
            </w:r>
          </w:p>
        </w:tc>
        <w:tc>
          <w:tcPr>
            <w:tcW w:w="2160" w:type="dxa"/>
            <w:vAlign w:val="bottom"/>
          </w:tcPr>
          <w:p>
            <w:pPr>
              <w:ind w:left="860"/>
              <w:spacing w:after="0"/>
              <w:rPr>
                <w:sz w:val="20"/>
                <w:szCs w:val="20"/>
                <w:color w:val="auto"/>
              </w:rPr>
            </w:pPr>
            <w:r>
              <w:rPr>
                <w:rFonts w:ascii="Times New Roman" w:cs="Times New Roman" w:eastAsia="Times New Roman" w:hAnsi="Times New Roman"/>
                <w:sz w:val="15"/>
                <w:szCs w:val="15"/>
                <w:color w:val="auto"/>
              </w:rPr>
              <w:t>Texas</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NSH El Paso, Inc.</w:t>
            </w:r>
          </w:p>
        </w:tc>
        <w:tc>
          <w:tcPr>
            <w:tcW w:w="2160" w:type="dxa"/>
            <w:vAlign w:val="bottom"/>
          </w:tcPr>
          <w:p>
            <w:pPr>
              <w:ind w:left="860"/>
              <w:spacing w:after="0"/>
              <w:rPr>
                <w:sz w:val="20"/>
                <w:szCs w:val="20"/>
                <w:color w:val="auto"/>
              </w:rPr>
            </w:pPr>
            <w:r>
              <w:rPr>
                <w:rFonts w:ascii="Times New Roman" w:cs="Times New Roman" w:eastAsia="Times New Roman" w:hAnsi="Times New Roman"/>
                <w:sz w:val="15"/>
                <w:szCs w:val="15"/>
                <w:color w:val="auto"/>
              </w:rPr>
              <w:t>Texas</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NSH Georgia, LLC</w:t>
            </w:r>
          </w:p>
        </w:tc>
        <w:tc>
          <w:tcPr>
            <w:tcW w:w="2160" w:type="dxa"/>
            <w:vAlign w:val="bottom"/>
          </w:tcPr>
          <w:p>
            <w:pPr>
              <w:ind w:left="860"/>
              <w:spacing w:after="0"/>
              <w:rPr>
                <w:sz w:val="20"/>
                <w:szCs w:val="20"/>
                <w:color w:val="auto"/>
              </w:rPr>
            </w:pPr>
            <w:r>
              <w:rPr>
                <w:rFonts w:ascii="Times New Roman" w:cs="Times New Roman" w:eastAsia="Times New Roman" w:hAnsi="Times New Roman"/>
                <w:sz w:val="15"/>
                <w:szCs w:val="15"/>
                <w:color w:val="auto"/>
              </w:rPr>
              <w:t>Delaware</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NSH Louisiana, LLC</w:t>
            </w:r>
          </w:p>
        </w:tc>
        <w:tc>
          <w:tcPr>
            <w:tcW w:w="2160" w:type="dxa"/>
            <w:vAlign w:val="bottom"/>
          </w:tcPr>
          <w:p>
            <w:pPr>
              <w:ind w:left="860"/>
              <w:spacing w:after="0"/>
              <w:rPr>
                <w:sz w:val="20"/>
                <w:szCs w:val="20"/>
                <w:color w:val="auto"/>
              </w:rPr>
            </w:pPr>
            <w:r>
              <w:rPr>
                <w:rFonts w:ascii="Times New Roman" w:cs="Times New Roman" w:eastAsia="Times New Roman" w:hAnsi="Times New Roman"/>
                <w:sz w:val="15"/>
                <w:szCs w:val="15"/>
                <w:color w:val="auto"/>
              </w:rPr>
              <w:t>Louisiana</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NSH Management of Arizona, LLC</w:t>
            </w:r>
          </w:p>
        </w:tc>
        <w:tc>
          <w:tcPr>
            <w:tcW w:w="2160" w:type="dxa"/>
            <w:vAlign w:val="bottom"/>
          </w:tcPr>
          <w:p>
            <w:pPr>
              <w:ind w:left="860"/>
              <w:spacing w:after="0"/>
              <w:rPr>
                <w:sz w:val="20"/>
                <w:szCs w:val="20"/>
                <w:color w:val="auto"/>
              </w:rPr>
            </w:pPr>
            <w:r>
              <w:rPr>
                <w:rFonts w:ascii="Times New Roman" w:cs="Times New Roman" w:eastAsia="Times New Roman" w:hAnsi="Times New Roman"/>
                <w:sz w:val="15"/>
                <w:szCs w:val="15"/>
                <w:color w:val="auto"/>
              </w:rPr>
              <w:t>Arizona</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NSH Management of California, LLC</w:t>
            </w:r>
          </w:p>
        </w:tc>
        <w:tc>
          <w:tcPr>
            <w:tcW w:w="2160" w:type="dxa"/>
            <w:vAlign w:val="bottom"/>
          </w:tcPr>
          <w:p>
            <w:pPr>
              <w:ind w:left="860"/>
              <w:spacing w:after="0"/>
              <w:rPr>
                <w:sz w:val="20"/>
                <w:szCs w:val="20"/>
                <w:color w:val="auto"/>
              </w:rPr>
            </w:pPr>
            <w:r>
              <w:rPr>
                <w:rFonts w:ascii="Times New Roman" w:cs="Times New Roman" w:eastAsia="Times New Roman" w:hAnsi="Times New Roman"/>
                <w:sz w:val="15"/>
                <w:szCs w:val="15"/>
                <w:color w:val="auto"/>
              </w:rPr>
              <w:t>California</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NSH Mesa, LLC</w:t>
            </w:r>
          </w:p>
        </w:tc>
        <w:tc>
          <w:tcPr>
            <w:tcW w:w="2160" w:type="dxa"/>
            <w:vAlign w:val="bottom"/>
          </w:tcPr>
          <w:p>
            <w:pPr>
              <w:ind w:left="860"/>
              <w:spacing w:after="0"/>
              <w:rPr>
                <w:sz w:val="20"/>
                <w:szCs w:val="20"/>
                <w:color w:val="auto"/>
              </w:rPr>
            </w:pPr>
            <w:r>
              <w:rPr>
                <w:rFonts w:ascii="Times New Roman" w:cs="Times New Roman" w:eastAsia="Times New Roman" w:hAnsi="Times New Roman"/>
                <w:sz w:val="15"/>
                <w:szCs w:val="15"/>
                <w:color w:val="auto"/>
              </w:rPr>
              <w:t>Arizona</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NSH Michigan, Inc.</w:t>
            </w:r>
          </w:p>
        </w:tc>
        <w:tc>
          <w:tcPr>
            <w:tcW w:w="2160" w:type="dxa"/>
            <w:vAlign w:val="bottom"/>
          </w:tcPr>
          <w:p>
            <w:pPr>
              <w:ind w:left="860"/>
              <w:spacing w:after="0"/>
              <w:rPr>
                <w:sz w:val="20"/>
                <w:szCs w:val="20"/>
                <w:color w:val="auto"/>
              </w:rPr>
            </w:pPr>
            <w:r>
              <w:rPr>
                <w:rFonts w:ascii="Times New Roman" w:cs="Times New Roman" w:eastAsia="Times New Roman" w:hAnsi="Times New Roman"/>
                <w:sz w:val="15"/>
                <w:szCs w:val="15"/>
                <w:color w:val="auto"/>
              </w:rPr>
              <w:t>Michigan</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40" w:top="973" w:right="339" w:bottom="1440" w:gutter="0" w:footer="0" w:header="0"/>
        </w:sectPr>
      </w:pPr>
    </w:p>
    <w:bookmarkStart w:id="94" w:name="page95"/>
    <w:bookmarkEnd w:id="9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500" w:type="dxa"/>
            <w:vAlign w:val="bottom"/>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rPr>
              <w:t>Entity Name</w:t>
            </w:r>
          </w:p>
        </w:tc>
        <w:tc>
          <w:tcPr>
            <w:tcW w:w="2200" w:type="dxa"/>
            <w:vAlign w:val="bottom"/>
          </w:tcPr>
          <w:p>
            <w:pPr>
              <w:ind w:left="900"/>
              <w:spacing w:after="0"/>
              <w:rPr>
                <w:sz w:val="20"/>
                <w:szCs w:val="20"/>
                <w:color w:val="auto"/>
              </w:rPr>
            </w:pPr>
            <w:r>
              <w:rPr>
                <w:rFonts w:ascii="Times New Roman" w:cs="Times New Roman" w:eastAsia="Times New Roman" w:hAnsi="Times New Roman"/>
                <w:sz w:val="15"/>
                <w:szCs w:val="15"/>
                <w:b w:val="1"/>
                <w:bCs w:val="1"/>
                <w:color w:val="auto"/>
              </w:rPr>
              <w:t>Jurisdiction of</w:t>
            </w:r>
          </w:p>
        </w:tc>
        <w:tc>
          <w:tcPr>
            <w:tcW w:w="4520" w:type="dxa"/>
            <w:vAlign w:val="bottom"/>
            <w:vMerge w:val="restart"/>
          </w:tcPr>
          <w:p>
            <w:pPr>
              <w:ind w:left="320"/>
              <w:spacing w:after="0"/>
              <w:rPr>
                <w:sz w:val="20"/>
                <w:szCs w:val="20"/>
                <w:color w:val="auto"/>
              </w:rPr>
            </w:pPr>
            <w:r>
              <w:rPr>
                <w:rFonts w:ascii="Times New Roman" w:cs="Times New Roman" w:eastAsia="Times New Roman" w:hAnsi="Times New Roman"/>
                <w:sz w:val="15"/>
                <w:szCs w:val="15"/>
                <w:b w:val="1"/>
                <w:bCs w:val="1"/>
                <w:color w:val="auto"/>
              </w:rPr>
              <w:t>Doing Business As</w:t>
            </w:r>
          </w:p>
        </w:tc>
        <w:tc>
          <w:tcPr>
            <w:tcW w:w="0" w:type="dxa"/>
            <w:vAlign w:val="bottom"/>
          </w:tcPr>
          <w:p>
            <w:pPr>
              <w:spacing w:after="0"/>
              <w:rPr>
                <w:sz w:val="1"/>
                <w:szCs w:val="1"/>
                <w:color w:val="auto"/>
              </w:rPr>
            </w:pPr>
          </w:p>
        </w:tc>
      </w:tr>
      <w:tr>
        <w:trPr>
          <w:trHeight w:val="205"/>
        </w:trPr>
        <w:tc>
          <w:tcPr>
            <w:tcW w:w="4500" w:type="dxa"/>
            <w:vAlign w:val="bottom"/>
            <w:tcBorders>
              <w:bottom w:val="single" w:sz="8" w:color="auto"/>
            </w:tcBorders>
            <w:vMerge w:val="continue"/>
          </w:tcPr>
          <w:p>
            <w:pPr>
              <w:spacing w:after="0"/>
              <w:rPr>
                <w:sz w:val="17"/>
                <w:szCs w:val="17"/>
                <w:color w:val="auto"/>
              </w:rPr>
            </w:pPr>
          </w:p>
        </w:tc>
        <w:tc>
          <w:tcPr>
            <w:tcW w:w="220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5"/>
                <w:szCs w:val="15"/>
                <w:b w:val="1"/>
                <w:bCs w:val="1"/>
                <w:color w:val="auto"/>
              </w:rPr>
              <w:t>Organization</w:t>
            </w:r>
          </w:p>
        </w:tc>
        <w:tc>
          <w:tcPr>
            <w:tcW w:w="45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5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NSH North Idaho, LLC</w:t>
            </w:r>
          </w:p>
        </w:tc>
        <w:tc>
          <w:tcPr>
            <w:tcW w:w="2200" w:type="dxa"/>
            <w:vAlign w:val="bottom"/>
          </w:tcPr>
          <w:p>
            <w:pPr>
              <w:ind w:left="900"/>
              <w:spacing w:after="0"/>
              <w:rPr>
                <w:sz w:val="20"/>
                <w:szCs w:val="20"/>
                <w:color w:val="auto"/>
              </w:rPr>
            </w:pPr>
            <w:r>
              <w:rPr>
                <w:rFonts w:ascii="Times New Roman" w:cs="Times New Roman" w:eastAsia="Times New Roman" w:hAnsi="Times New Roman"/>
                <w:sz w:val="15"/>
                <w:szCs w:val="15"/>
                <w:color w:val="auto"/>
              </w:rPr>
              <w:t>Idaho</w:t>
            </w:r>
          </w:p>
        </w:tc>
        <w:tc>
          <w:tcPr>
            <w:tcW w:w="4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5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NSH San Antonio Surgical Hospital, LLC</w:t>
            </w:r>
          </w:p>
        </w:tc>
        <w:tc>
          <w:tcPr>
            <w:tcW w:w="2200" w:type="dxa"/>
            <w:vAlign w:val="bottom"/>
          </w:tcPr>
          <w:p>
            <w:pPr>
              <w:ind w:left="900"/>
              <w:spacing w:after="0"/>
              <w:rPr>
                <w:sz w:val="20"/>
                <w:szCs w:val="20"/>
                <w:color w:val="auto"/>
              </w:rPr>
            </w:pPr>
            <w:r>
              <w:rPr>
                <w:rFonts w:ascii="Times New Roman" w:cs="Times New Roman" w:eastAsia="Times New Roman" w:hAnsi="Times New Roman"/>
                <w:sz w:val="15"/>
                <w:szCs w:val="15"/>
                <w:color w:val="auto"/>
              </w:rPr>
              <w:t>Texas</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NSH Texas, LLC</w:t>
            </w:r>
          </w:p>
        </w:tc>
        <w:tc>
          <w:tcPr>
            <w:tcW w:w="2200" w:type="dxa"/>
            <w:vAlign w:val="bottom"/>
          </w:tcPr>
          <w:p>
            <w:pPr>
              <w:ind w:left="900"/>
              <w:spacing w:after="0"/>
              <w:rPr>
                <w:sz w:val="20"/>
                <w:szCs w:val="20"/>
                <w:color w:val="auto"/>
              </w:rPr>
            </w:pPr>
            <w:r>
              <w:rPr>
                <w:rFonts w:ascii="Times New Roman" w:cs="Times New Roman" w:eastAsia="Times New Roman" w:hAnsi="Times New Roman"/>
                <w:sz w:val="15"/>
                <w:szCs w:val="15"/>
                <w:color w:val="auto"/>
              </w:rPr>
              <w:t>Illinois</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NSH Wisconsin, LLC</w:t>
            </w:r>
          </w:p>
        </w:tc>
        <w:tc>
          <w:tcPr>
            <w:tcW w:w="2200" w:type="dxa"/>
            <w:vAlign w:val="bottom"/>
          </w:tcPr>
          <w:p>
            <w:pPr>
              <w:ind w:left="900"/>
              <w:spacing w:after="0"/>
              <w:rPr>
                <w:sz w:val="20"/>
                <w:szCs w:val="20"/>
                <w:color w:val="auto"/>
              </w:rPr>
            </w:pPr>
            <w:r>
              <w:rPr>
                <w:rFonts w:ascii="Times New Roman" w:cs="Times New Roman" w:eastAsia="Times New Roman" w:hAnsi="Times New Roman"/>
                <w:sz w:val="15"/>
                <w:szCs w:val="15"/>
                <w:color w:val="auto"/>
              </w:rPr>
              <w:t>Wisconsin</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Nuehealth Equity II, LLC</w:t>
            </w:r>
          </w:p>
        </w:tc>
        <w:tc>
          <w:tcPr>
            <w:tcW w:w="2200" w:type="dxa"/>
            <w:vAlign w:val="bottom"/>
          </w:tcPr>
          <w:p>
            <w:pPr>
              <w:ind w:left="900"/>
              <w:spacing w:after="0"/>
              <w:rPr>
                <w:sz w:val="20"/>
                <w:szCs w:val="20"/>
                <w:color w:val="auto"/>
              </w:rPr>
            </w:pPr>
            <w:r>
              <w:rPr>
                <w:rFonts w:ascii="Times New Roman" w:cs="Times New Roman" w:eastAsia="Times New Roman" w:hAnsi="Times New Roman"/>
                <w:sz w:val="15"/>
                <w:szCs w:val="15"/>
                <w:color w:val="auto"/>
              </w:rPr>
              <w:t>Delaware</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NueHealth Management Services II, LLC</w:t>
            </w:r>
          </w:p>
        </w:tc>
        <w:tc>
          <w:tcPr>
            <w:tcW w:w="2200" w:type="dxa"/>
            <w:vAlign w:val="bottom"/>
          </w:tcPr>
          <w:p>
            <w:pPr>
              <w:ind w:left="900"/>
              <w:spacing w:after="0"/>
              <w:rPr>
                <w:sz w:val="20"/>
                <w:szCs w:val="20"/>
                <w:color w:val="auto"/>
              </w:rPr>
            </w:pPr>
            <w:r>
              <w:rPr>
                <w:rFonts w:ascii="Times New Roman" w:cs="Times New Roman" w:eastAsia="Times New Roman" w:hAnsi="Times New Roman"/>
                <w:sz w:val="15"/>
                <w:szCs w:val="15"/>
                <w:color w:val="auto"/>
              </w:rPr>
              <w:t>Delaware</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Oak Leaf Surgery Center, LLC</w:t>
            </w:r>
          </w:p>
        </w:tc>
        <w:tc>
          <w:tcPr>
            <w:tcW w:w="2200" w:type="dxa"/>
            <w:vAlign w:val="bottom"/>
          </w:tcPr>
          <w:p>
            <w:pPr>
              <w:ind w:left="900"/>
              <w:spacing w:after="0"/>
              <w:rPr>
                <w:sz w:val="20"/>
                <w:szCs w:val="20"/>
                <w:color w:val="auto"/>
              </w:rPr>
            </w:pPr>
            <w:r>
              <w:rPr>
                <w:rFonts w:ascii="Times New Roman" w:cs="Times New Roman" w:eastAsia="Times New Roman" w:hAnsi="Times New Roman"/>
                <w:sz w:val="15"/>
                <w:szCs w:val="15"/>
                <w:color w:val="auto"/>
              </w:rPr>
              <w:t>Wisconsin</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Oak Leaf Surgical Hospital, LLC</w:t>
            </w:r>
          </w:p>
        </w:tc>
        <w:tc>
          <w:tcPr>
            <w:tcW w:w="2200" w:type="dxa"/>
            <w:vAlign w:val="bottom"/>
          </w:tcPr>
          <w:p>
            <w:pPr>
              <w:ind w:left="900"/>
              <w:spacing w:after="0"/>
              <w:rPr>
                <w:sz w:val="20"/>
                <w:szCs w:val="20"/>
                <w:color w:val="auto"/>
              </w:rPr>
            </w:pPr>
            <w:r>
              <w:rPr>
                <w:rFonts w:ascii="Times New Roman" w:cs="Times New Roman" w:eastAsia="Times New Roman" w:hAnsi="Times New Roman"/>
                <w:sz w:val="15"/>
                <w:szCs w:val="15"/>
                <w:color w:val="auto"/>
              </w:rPr>
              <w:t>Wisconsin</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Ocean State Endoscopy Holdings, LLC</w:t>
            </w:r>
          </w:p>
        </w:tc>
        <w:tc>
          <w:tcPr>
            <w:tcW w:w="2200" w:type="dxa"/>
            <w:vAlign w:val="bottom"/>
          </w:tcPr>
          <w:p>
            <w:pPr>
              <w:ind w:left="900"/>
              <w:spacing w:after="0"/>
              <w:rPr>
                <w:sz w:val="20"/>
                <w:szCs w:val="20"/>
                <w:color w:val="auto"/>
              </w:rPr>
            </w:pPr>
            <w:r>
              <w:rPr>
                <w:rFonts w:ascii="Times New Roman" w:cs="Times New Roman" w:eastAsia="Times New Roman" w:hAnsi="Times New Roman"/>
                <w:sz w:val="15"/>
                <w:szCs w:val="15"/>
                <w:color w:val="auto"/>
              </w:rPr>
              <w:t>Rhode Island</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Orange City Surgery Center, LLC</w:t>
            </w:r>
          </w:p>
        </w:tc>
        <w:tc>
          <w:tcPr>
            <w:tcW w:w="2200" w:type="dxa"/>
            <w:vAlign w:val="bottom"/>
          </w:tcPr>
          <w:p>
            <w:pPr>
              <w:ind w:left="900"/>
              <w:spacing w:after="0"/>
              <w:rPr>
                <w:sz w:val="20"/>
                <w:szCs w:val="20"/>
                <w:color w:val="auto"/>
              </w:rPr>
            </w:pPr>
            <w:r>
              <w:rPr>
                <w:rFonts w:ascii="Times New Roman" w:cs="Times New Roman" w:eastAsia="Times New Roman" w:hAnsi="Times New Roman"/>
                <w:sz w:val="15"/>
                <w:szCs w:val="15"/>
                <w:color w:val="auto"/>
              </w:rPr>
              <w:t>Florida</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Orthopedic Surgeons of Wisconsin, S.C.</w:t>
            </w:r>
          </w:p>
        </w:tc>
        <w:tc>
          <w:tcPr>
            <w:tcW w:w="2200" w:type="dxa"/>
            <w:vAlign w:val="bottom"/>
          </w:tcPr>
          <w:p>
            <w:pPr>
              <w:ind w:left="900"/>
              <w:spacing w:after="0"/>
              <w:rPr>
                <w:sz w:val="20"/>
                <w:szCs w:val="20"/>
                <w:color w:val="auto"/>
              </w:rPr>
            </w:pPr>
            <w:r>
              <w:rPr>
                <w:rFonts w:ascii="Times New Roman" w:cs="Times New Roman" w:eastAsia="Times New Roman" w:hAnsi="Times New Roman"/>
                <w:sz w:val="15"/>
                <w:szCs w:val="15"/>
                <w:color w:val="auto"/>
              </w:rPr>
              <w:t>Wisconsin</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Orthopedic Surgery Center of Asheville, L.P.</w:t>
            </w:r>
          </w:p>
        </w:tc>
        <w:tc>
          <w:tcPr>
            <w:tcW w:w="2200" w:type="dxa"/>
            <w:vAlign w:val="bottom"/>
          </w:tcPr>
          <w:p>
            <w:pPr>
              <w:ind w:left="900"/>
              <w:spacing w:after="0"/>
              <w:rPr>
                <w:sz w:val="20"/>
                <w:szCs w:val="20"/>
                <w:color w:val="auto"/>
              </w:rPr>
            </w:pPr>
            <w:r>
              <w:rPr>
                <w:rFonts w:ascii="Times New Roman" w:cs="Times New Roman" w:eastAsia="Times New Roman" w:hAnsi="Times New Roman"/>
                <w:sz w:val="15"/>
                <w:szCs w:val="15"/>
                <w:color w:val="auto"/>
              </w:rPr>
              <w:t>Tennessee</w:t>
            </w:r>
          </w:p>
        </w:tc>
        <w:tc>
          <w:tcPr>
            <w:tcW w:w="452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Outpatient Surgery Center of Asheville</w:t>
            </w:r>
          </w:p>
        </w:tc>
        <w:tc>
          <w:tcPr>
            <w:tcW w:w="0" w:type="dxa"/>
            <w:vAlign w:val="bottom"/>
          </w:tcPr>
          <w:p>
            <w:pPr>
              <w:spacing w:after="0"/>
              <w:rPr>
                <w:sz w:val="1"/>
                <w:szCs w:val="1"/>
                <w:color w:val="auto"/>
              </w:rPr>
            </w:pPr>
          </w:p>
        </w:tc>
      </w:tr>
      <w:tr>
        <w:trPr>
          <w:trHeight w:val="206"/>
        </w:trPr>
        <w:tc>
          <w:tcPr>
            <w:tcW w:w="45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Orthopedic &amp; Spine Surgical Hospital of South Texas, LP</w:t>
            </w:r>
          </w:p>
        </w:tc>
        <w:tc>
          <w:tcPr>
            <w:tcW w:w="2200" w:type="dxa"/>
            <w:vAlign w:val="bottom"/>
          </w:tcPr>
          <w:p>
            <w:pPr>
              <w:ind w:left="900"/>
              <w:spacing w:after="0"/>
              <w:rPr>
                <w:sz w:val="20"/>
                <w:szCs w:val="20"/>
                <w:color w:val="auto"/>
              </w:rPr>
            </w:pPr>
            <w:r>
              <w:rPr>
                <w:rFonts w:ascii="Times New Roman" w:cs="Times New Roman" w:eastAsia="Times New Roman" w:hAnsi="Times New Roman"/>
                <w:sz w:val="15"/>
                <w:szCs w:val="15"/>
                <w:color w:val="auto"/>
              </w:rPr>
              <w:t>Texas</w:t>
            </w:r>
          </w:p>
        </w:tc>
        <w:tc>
          <w:tcPr>
            <w:tcW w:w="452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South Texas Spine &amp; Surgical Hospital</w:t>
            </w:r>
          </w:p>
        </w:tc>
        <w:tc>
          <w:tcPr>
            <w:tcW w:w="0" w:type="dxa"/>
            <w:vAlign w:val="bottom"/>
          </w:tcPr>
          <w:p>
            <w:pPr>
              <w:spacing w:after="0"/>
              <w:rPr>
                <w:sz w:val="1"/>
                <w:szCs w:val="1"/>
                <w:color w:val="auto"/>
              </w:rPr>
            </w:pPr>
          </w:p>
        </w:tc>
      </w:tr>
      <w:tr>
        <w:trPr>
          <w:trHeight w:val="206"/>
        </w:trPr>
        <w:tc>
          <w:tcPr>
            <w:tcW w:w="45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Pain Management Associates, Inc.</w:t>
            </w:r>
          </w:p>
        </w:tc>
        <w:tc>
          <w:tcPr>
            <w:tcW w:w="2200" w:type="dxa"/>
            <w:vAlign w:val="bottom"/>
          </w:tcPr>
          <w:p>
            <w:pPr>
              <w:ind w:left="900"/>
              <w:spacing w:after="0"/>
              <w:rPr>
                <w:sz w:val="20"/>
                <w:szCs w:val="20"/>
                <w:color w:val="auto"/>
              </w:rPr>
            </w:pPr>
            <w:r>
              <w:rPr>
                <w:rFonts w:ascii="Times New Roman" w:cs="Times New Roman" w:eastAsia="Times New Roman" w:hAnsi="Times New Roman"/>
                <w:sz w:val="15"/>
                <w:szCs w:val="15"/>
                <w:color w:val="auto"/>
              </w:rPr>
              <w:t>California</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Park Place Surgery Center, L.L.C.</w:t>
            </w:r>
          </w:p>
        </w:tc>
        <w:tc>
          <w:tcPr>
            <w:tcW w:w="2200" w:type="dxa"/>
            <w:vAlign w:val="bottom"/>
          </w:tcPr>
          <w:p>
            <w:pPr>
              <w:ind w:left="900"/>
              <w:spacing w:after="0"/>
              <w:rPr>
                <w:sz w:val="20"/>
                <w:szCs w:val="20"/>
                <w:color w:val="auto"/>
              </w:rPr>
            </w:pPr>
            <w:r>
              <w:rPr>
                <w:rFonts w:ascii="Times New Roman" w:cs="Times New Roman" w:eastAsia="Times New Roman" w:hAnsi="Times New Roman"/>
                <w:sz w:val="15"/>
                <w:szCs w:val="15"/>
                <w:color w:val="auto"/>
              </w:rPr>
              <w:t>Florida</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Permian Basin Surgical Care Center, LLC</w:t>
            </w:r>
          </w:p>
        </w:tc>
        <w:tc>
          <w:tcPr>
            <w:tcW w:w="2200" w:type="dxa"/>
            <w:vAlign w:val="bottom"/>
          </w:tcPr>
          <w:p>
            <w:pPr>
              <w:ind w:left="900"/>
              <w:spacing w:after="0"/>
              <w:rPr>
                <w:sz w:val="20"/>
                <w:szCs w:val="20"/>
                <w:color w:val="auto"/>
              </w:rPr>
            </w:pPr>
            <w:r>
              <w:rPr>
                <w:rFonts w:ascii="Times New Roman" w:cs="Times New Roman" w:eastAsia="Times New Roman" w:hAnsi="Times New Roman"/>
                <w:sz w:val="15"/>
                <w:szCs w:val="15"/>
                <w:color w:val="auto"/>
              </w:rPr>
              <w:t>Texas</w:t>
            </w:r>
          </w:p>
        </w:tc>
        <w:tc>
          <w:tcPr>
            <w:tcW w:w="452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Vista Surgery Center</w:t>
            </w:r>
          </w:p>
        </w:tc>
        <w:tc>
          <w:tcPr>
            <w:tcW w:w="0" w:type="dxa"/>
            <w:vAlign w:val="bottom"/>
          </w:tcPr>
          <w:p>
            <w:pPr>
              <w:spacing w:after="0"/>
              <w:rPr>
                <w:sz w:val="1"/>
                <w:szCs w:val="1"/>
                <w:color w:val="auto"/>
              </w:rPr>
            </w:pPr>
          </w:p>
        </w:tc>
      </w:tr>
      <w:tr>
        <w:trPr>
          <w:trHeight w:val="206"/>
        </w:trPr>
        <w:tc>
          <w:tcPr>
            <w:tcW w:w="45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Physicians Surgery Services, LLC</w:t>
            </w:r>
          </w:p>
        </w:tc>
        <w:tc>
          <w:tcPr>
            <w:tcW w:w="2200" w:type="dxa"/>
            <w:vAlign w:val="bottom"/>
          </w:tcPr>
          <w:p>
            <w:pPr>
              <w:ind w:left="900"/>
              <w:spacing w:after="0"/>
              <w:rPr>
                <w:sz w:val="20"/>
                <w:szCs w:val="20"/>
                <w:color w:val="auto"/>
              </w:rPr>
            </w:pPr>
            <w:r>
              <w:rPr>
                <w:rFonts w:ascii="Times New Roman" w:cs="Times New Roman" w:eastAsia="Times New Roman" w:hAnsi="Times New Roman"/>
                <w:sz w:val="15"/>
                <w:szCs w:val="15"/>
                <w:color w:val="auto"/>
              </w:rPr>
              <w:t>Delaware</w:t>
            </w:r>
          </w:p>
        </w:tc>
        <w:tc>
          <w:tcPr>
            <w:tcW w:w="452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Advanced Surgery Center</w:t>
            </w:r>
          </w:p>
        </w:tc>
        <w:tc>
          <w:tcPr>
            <w:tcW w:w="0" w:type="dxa"/>
            <w:vAlign w:val="bottom"/>
          </w:tcPr>
          <w:p>
            <w:pPr>
              <w:spacing w:after="0"/>
              <w:rPr>
                <w:sz w:val="1"/>
                <w:szCs w:val="1"/>
                <w:color w:val="auto"/>
              </w:rPr>
            </w:pPr>
          </w:p>
        </w:tc>
      </w:tr>
      <w:tr>
        <w:trPr>
          <w:trHeight w:val="206"/>
        </w:trPr>
        <w:tc>
          <w:tcPr>
            <w:tcW w:w="45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Plantation ASC, LLC</w:t>
            </w:r>
          </w:p>
        </w:tc>
        <w:tc>
          <w:tcPr>
            <w:tcW w:w="2200" w:type="dxa"/>
            <w:vAlign w:val="bottom"/>
          </w:tcPr>
          <w:p>
            <w:pPr>
              <w:ind w:left="900"/>
              <w:spacing w:after="0"/>
              <w:rPr>
                <w:sz w:val="20"/>
                <w:szCs w:val="20"/>
                <w:color w:val="auto"/>
              </w:rPr>
            </w:pPr>
            <w:r>
              <w:rPr>
                <w:rFonts w:ascii="Times New Roman" w:cs="Times New Roman" w:eastAsia="Times New Roman" w:hAnsi="Times New Roman"/>
                <w:sz w:val="15"/>
                <w:szCs w:val="15"/>
                <w:color w:val="auto"/>
              </w:rPr>
              <w:t>Florida</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Portsmouth, LLC</w:t>
            </w:r>
          </w:p>
        </w:tc>
        <w:tc>
          <w:tcPr>
            <w:tcW w:w="2200" w:type="dxa"/>
            <w:vAlign w:val="bottom"/>
          </w:tcPr>
          <w:p>
            <w:pPr>
              <w:ind w:left="900"/>
              <w:spacing w:after="0"/>
              <w:rPr>
                <w:sz w:val="20"/>
                <w:szCs w:val="20"/>
                <w:color w:val="auto"/>
              </w:rPr>
            </w:pPr>
            <w:r>
              <w:rPr>
                <w:rFonts w:ascii="Times New Roman" w:cs="Times New Roman" w:eastAsia="Times New Roman" w:hAnsi="Times New Roman"/>
                <w:sz w:val="15"/>
                <w:szCs w:val="15"/>
                <w:color w:val="auto"/>
              </w:rPr>
              <w:t>Delaware</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Preferred Vascular Services Akron, LLC</w:t>
            </w:r>
          </w:p>
        </w:tc>
        <w:tc>
          <w:tcPr>
            <w:tcW w:w="2200" w:type="dxa"/>
            <w:vAlign w:val="bottom"/>
          </w:tcPr>
          <w:p>
            <w:pPr>
              <w:ind w:left="900"/>
              <w:spacing w:after="0"/>
              <w:rPr>
                <w:sz w:val="20"/>
                <w:szCs w:val="20"/>
                <w:color w:val="auto"/>
              </w:rPr>
            </w:pPr>
            <w:r>
              <w:rPr>
                <w:rFonts w:ascii="Times New Roman" w:cs="Times New Roman" w:eastAsia="Times New Roman" w:hAnsi="Times New Roman"/>
                <w:sz w:val="15"/>
                <w:szCs w:val="15"/>
                <w:color w:val="auto"/>
              </w:rPr>
              <w:t>Ohio</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Preferred Vascular Services Cleveland, LLC</w:t>
            </w:r>
          </w:p>
        </w:tc>
        <w:tc>
          <w:tcPr>
            <w:tcW w:w="2200" w:type="dxa"/>
            <w:vAlign w:val="bottom"/>
          </w:tcPr>
          <w:p>
            <w:pPr>
              <w:ind w:left="900"/>
              <w:spacing w:after="0"/>
              <w:rPr>
                <w:sz w:val="20"/>
                <w:szCs w:val="20"/>
                <w:color w:val="auto"/>
              </w:rPr>
            </w:pPr>
            <w:r>
              <w:rPr>
                <w:rFonts w:ascii="Times New Roman" w:cs="Times New Roman" w:eastAsia="Times New Roman" w:hAnsi="Times New Roman"/>
                <w:sz w:val="15"/>
                <w:szCs w:val="15"/>
                <w:color w:val="auto"/>
              </w:rPr>
              <w:t>Ohio</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Preferred Vascular Services Cleveland West, LLC</w:t>
            </w:r>
          </w:p>
        </w:tc>
        <w:tc>
          <w:tcPr>
            <w:tcW w:w="2200" w:type="dxa"/>
            <w:vAlign w:val="bottom"/>
          </w:tcPr>
          <w:p>
            <w:pPr>
              <w:ind w:left="900"/>
              <w:spacing w:after="0"/>
              <w:rPr>
                <w:sz w:val="20"/>
                <w:szCs w:val="20"/>
                <w:color w:val="auto"/>
              </w:rPr>
            </w:pPr>
            <w:r>
              <w:rPr>
                <w:rFonts w:ascii="Times New Roman" w:cs="Times New Roman" w:eastAsia="Times New Roman" w:hAnsi="Times New Roman"/>
                <w:sz w:val="15"/>
                <w:szCs w:val="15"/>
                <w:color w:val="auto"/>
              </w:rPr>
              <w:t>Ohio</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Preferred Vascular Services Macon, LLC</w:t>
            </w:r>
          </w:p>
        </w:tc>
        <w:tc>
          <w:tcPr>
            <w:tcW w:w="2200" w:type="dxa"/>
            <w:vAlign w:val="bottom"/>
          </w:tcPr>
          <w:p>
            <w:pPr>
              <w:ind w:left="900"/>
              <w:spacing w:after="0"/>
              <w:rPr>
                <w:sz w:val="20"/>
                <w:szCs w:val="20"/>
                <w:color w:val="auto"/>
              </w:rPr>
            </w:pPr>
            <w:r>
              <w:rPr>
                <w:rFonts w:ascii="Times New Roman" w:cs="Times New Roman" w:eastAsia="Times New Roman" w:hAnsi="Times New Roman"/>
                <w:sz w:val="15"/>
                <w:szCs w:val="15"/>
                <w:color w:val="auto"/>
              </w:rPr>
              <w:t>Georgia</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Preferred Vascular Services Northeast, LLC</w:t>
            </w:r>
          </w:p>
        </w:tc>
        <w:tc>
          <w:tcPr>
            <w:tcW w:w="2200" w:type="dxa"/>
            <w:vAlign w:val="bottom"/>
          </w:tcPr>
          <w:p>
            <w:pPr>
              <w:ind w:left="900"/>
              <w:spacing w:after="0"/>
              <w:rPr>
                <w:sz w:val="20"/>
                <w:szCs w:val="20"/>
                <w:color w:val="auto"/>
              </w:rPr>
            </w:pPr>
            <w:r>
              <w:rPr>
                <w:rFonts w:ascii="Times New Roman" w:cs="Times New Roman" w:eastAsia="Times New Roman" w:hAnsi="Times New Roman"/>
                <w:sz w:val="15"/>
                <w:szCs w:val="15"/>
                <w:color w:val="auto"/>
              </w:rPr>
              <w:t>Georgia</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Preferred Vascular Services Northwest, LLC</w:t>
            </w:r>
          </w:p>
        </w:tc>
        <w:tc>
          <w:tcPr>
            <w:tcW w:w="2200" w:type="dxa"/>
            <w:vAlign w:val="bottom"/>
          </w:tcPr>
          <w:p>
            <w:pPr>
              <w:ind w:left="900"/>
              <w:spacing w:after="0"/>
              <w:rPr>
                <w:sz w:val="20"/>
                <w:szCs w:val="20"/>
                <w:color w:val="auto"/>
              </w:rPr>
            </w:pPr>
            <w:r>
              <w:rPr>
                <w:rFonts w:ascii="Times New Roman" w:cs="Times New Roman" w:eastAsia="Times New Roman" w:hAnsi="Times New Roman"/>
                <w:sz w:val="15"/>
                <w:szCs w:val="15"/>
                <w:color w:val="auto"/>
              </w:rPr>
              <w:t>Georgia</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Preferred Vascular Services Southeast, LLC</w:t>
            </w:r>
          </w:p>
        </w:tc>
        <w:tc>
          <w:tcPr>
            <w:tcW w:w="2200" w:type="dxa"/>
            <w:vAlign w:val="bottom"/>
          </w:tcPr>
          <w:p>
            <w:pPr>
              <w:ind w:left="900"/>
              <w:spacing w:after="0"/>
              <w:rPr>
                <w:sz w:val="20"/>
                <w:szCs w:val="20"/>
                <w:color w:val="auto"/>
              </w:rPr>
            </w:pPr>
            <w:r>
              <w:rPr>
                <w:rFonts w:ascii="Times New Roman" w:cs="Times New Roman" w:eastAsia="Times New Roman" w:hAnsi="Times New Roman"/>
                <w:sz w:val="15"/>
                <w:szCs w:val="15"/>
                <w:color w:val="auto"/>
              </w:rPr>
              <w:t>Georgia</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Preferred Vascular Services Southwest, LLC</w:t>
            </w:r>
          </w:p>
        </w:tc>
        <w:tc>
          <w:tcPr>
            <w:tcW w:w="2200" w:type="dxa"/>
            <w:vAlign w:val="bottom"/>
          </w:tcPr>
          <w:p>
            <w:pPr>
              <w:ind w:left="900"/>
              <w:spacing w:after="0"/>
              <w:rPr>
                <w:sz w:val="20"/>
                <w:szCs w:val="20"/>
                <w:color w:val="auto"/>
              </w:rPr>
            </w:pPr>
            <w:r>
              <w:rPr>
                <w:rFonts w:ascii="Times New Roman" w:cs="Times New Roman" w:eastAsia="Times New Roman" w:hAnsi="Times New Roman"/>
                <w:sz w:val="15"/>
                <w:szCs w:val="15"/>
                <w:color w:val="auto"/>
              </w:rPr>
              <w:t>Georgia</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Prescription Center, LLC</w:t>
            </w:r>
          </w:p>
        </w:tc>
        <w:tc>
          <w:tcPr>
            <w:tcW w:w="2200" w:type="dxa"/>
            <w:vAlign w:val="bottom"/>
          </w:tcPr>
          <w:p>
            <w:pPr>
              <w:ind w:left="900"/>
              <w:spacing w:after="0"/>
              <w:rPr>
                <w:sz w:val="20"/>
                <w:szCs w:val="20"/>
                <w:color w:val="auto"/>
              </w:rPr>
            </w:pPr>
            <w:r>
              <w:rPr>
                <w:rFonts w:ascii="Times New Roman" w:cs="Times New Roman" w:eastAsia="Times New Roman" w:hAnsi="Times New Roman"/>
                <w:sz w:val="15"/>
                <w:szCs w:val="15"/>
                <w:color w:val="auto"/>
              </w:rPr>
              <w:t>Idaho</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Prescription Center Homecare, LLC</w:t>
            </w:r>
          </w:p>
        </w:tc>
        <w:tc>
          <w:tcPr>
            <w:tcW w:w="2200" w:type="dxa"/>
            <w:vAlign w:val="bottom"/>
          </w:tcPr>
          <w:p>
            <w:pPr>
              <w:ind w:left="900"/>
              <w:spacing w:after="0"/>
              <w:rPr>
                <w:sz w:val="20"/>
                <w:szCs w:val="20"/>
                <w:color w:val="auto"/>
              </w:rPr>
            </w:pPr>
            <w:r>
              <w:rPr>
                <w:rFonts w:ascii="Times New Roman" w:cs="Times New Roman" w:eastAsia="Times New Roman" w:hAnsi="Times New Roman"/>
                <w:sz w:val="15"/>
                <w:szCs w:val="15"/>
                <w:color w:val="auto"/>
              </w:rPr>
              <w:t>Idaho</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PRG Dallas ASC, LLC</w:t>
            </w:r>
          </w:p>
        </w:tc>
        <w:tc>
          <w:tcPr>
            <w:tcW w:w="2200" w:type="dxa"/>
            <w:vAlign w:val="bottom"/>
          </w:tcPr>
          <w:p>
            <w:pPr>
              <w:ind w:left="900"/>
              <w:spacing w:after="0"/>
              <w:rPr>
                <w:sz w:val="20"/>
                <w:szCs w:val="20"/>
                <w:color w:val="auto"/>
              </w:rPr>
            </w:pPr>
            <w:r>
              <w:rPr>
                <w:rFonts w:ascii="Times New Roman" w:cs="Times New Roman" w:eastAsia="Times New Roman" w:hAnsi="Times New Roman"/>
                <w:sz w:val="15"/>
                <w:szCs w:val="15"/>
                <w:color w:val="auto"/>
              </w:rPr>
              <w:t>Texas</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PSC Development Company, LLC</w:t>
            </w:r>
          </w:p>
        </w:tc>
        <w:tc>
          <w:tcPr>
            <w:tcW w:w="2200" w:type="dxa"/>
            <w:vAlign w:val="bottom"/>
          </w:tcPr>
          <w:p>
            <w:pPr>
              <w:ind w:left="900"/>
              <w:spacing w:after="0"/>
              <w:rPr>
                <w:sz w:val="20"/>
                <w:szCs w:val="20"/>
                <w:color w:val="auto"/>
              </w:rPr>
            </w:pPr>
            <w:r>
              <w:rPr>
                <w:rFonts w:ascii="Times New Roman" w:cs="Times New Roman" w:eastAsia="Times New Roman" w:hAnsi="Times New Roman"/>
                <w:sz w:val="15"/>
                <w:szCs w:val="15"/>
                <w:color w:val="auto"/>
              </w:rPr>
              <w:t>Delaware</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PSC Operating Company, LLC</w:t>
            </w:r>
          </w:p>
        </w:tc>
        <w:tc>
          <w:tcPr>
            <w:tcW w:w="2200" w:type="dxa"/>
            <w:vAlign w:val="bottom"/>
          </w:tcPr>
          <w:p>
            <w:pPr>
              <w:ind w:left="900"/>
              <w:spacing w:after="0"/>
              <w:rPr>
                <w:sz w:val="20"/>
                <w:szCs w:val="20"/>
                <w:color w:val="auto"/>
              </w:rPr>
            </w:pPr>
            <w:r>
              <w:rPr>
                <w:rFonts w:ascii="Times New Roman" w:cs="Times New Roman" w:eastAsia="Times New Roman" w:hAnsi="Times New Roman"/>
                <w:sz w:val="15"/>
                <w:szCs w:val="15"/>
                <w:color w:val="auto"/>
              </w:rPr>
              <w:t>Delaware</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PSHS Alpha Partners, LLC</w:t>
            </w:r>
          </w:p>
        </w:tc>
        <w:tc>
          <w:tcPr>
            <w:tcW w:w="2200" w:type="dxa"/>
            <w:vAlign w:val="bottom"/>
          </w:tcPr>
          <w:p>
            <w:pPr>
              <w:ind w:left="900"/>
              <w:spacing w:after="0"/>
              <w:rPr>
                <w:sz w:val="20"/>
                <w:szCs w:val="20"/>
                <w:color w:val="auto"/>
              </w:rPr>
            </w:pPr>
            <w:r>
              <w:rPr>
                <w:rFonts w:ascii="Times New Roman" w:cs="Times New Roman" w:eastAsia="Times New Roman" w:hAnsi="Times New Roman"/>
                <w:sz w:val="15"/>
                <w:szCs w:val="15"/>
                <w:color w:val="auto"/>
              </w:rPr>
              <w:t>Florida</w:t>
            </w:r>
          </w:p>
        </w:tc>
        <w:tc>
          <w:tcPr>
            <w:tcW w:w="452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Lake Worth Surgery Center</w:t>
            </w:r>
          </w:p>
        </w:tc>
        <w:tc>
          <w:tcPr>
            <w:tcW w:w="0" w:type="dxa"/>
            <w:vAlign w:val="bottom"/>
          </w:tcPr>
          <w:p>
            <w:pPr>
              <w:spacing w:after="0"/>
              <w:rPr>
                <w:sz w:val="1"/>
                <w:szCs w:val="1"/>
                <w:color w:val="auto"/>
              </w:rPr>
            </w:pPr>
          </w:p>
        </w:tc>
      </w:tr>
      <w:tr>
        <w:trPr>
          <w:trHeight w:val="206"/>
        </w:trPr>
        <w:tc>
          <w:tcPr>
            <w:tcW w:w="45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PSHS Beta Partners, Ltd.</w:t>
            </w:r>
          </w:p>
        </w:tc>
        <w:tc>
          <w:tcPr>
            <w:tcW w:w="2200" w:type="dxa"/>
            <w:vAlign w:val="bottom"/>
          </w:tcPr>
          <w:p>
            <w:pPr>
              <w:ind w:left="900"/>
              <w:spacing w:after="0"/>
              <w:rPr>
                <w:sz w:val="20"/>
                <w:szCs w:val="20"/>
                <w:color w:val="auto"/>
              </w:rPr>
            </w:pPr>
            <w:r>
              <w:rPr>
                <w:rFonts w:ascii="Times New Roman" w:cs="Times New Roman" w:eastAsia="Times New Roman" w:hAnsi="Times New Roman"/>
                <w:sz w:val="15"/>
                <w:szCs w:val="15"/>
                <w:color w:val="auto"/>
              </w:rPr>
              <w:t>Florida</w:t>
            </w:r>
          </w:p>
        </w:tc>
        <w:tc>
          <w:tcPr>
            <w:tcW w:w="452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The Gables Surgical Center</w:t>
            </w:r>
          </w:p>
        </w:tc>
        <w:tc>
          <w:tcPr>
            <w:tcW w:w="0" w:type="dxa"/>
            <w:vAlign w:val="bottom"/>
          </w:tcPr>
          <w:p>
            <w:pPr>
              <w:spacing w:after="0"/>
              <w:rPr>
                <w:sz w:val="1"/>
                <w:szCs w:val="1"/>
                <w:color w:val="auto"/>
              </w:rPr>
            </w:pPr>
          </w:p>
        </w:tc>
      </w:tr>
      <w:tr>
        <w:trPr>
          <w:trHeight w:val="206"/>
        </w:trPr>
        <w:tc>
          <w:tcPr>
            <w:tcW w:w="45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PVG Management, LLC</w:t>
            </w:r>
          </w:p>
        </w:tc>
        <w:tc>
          <w:tcPr>
            <w:tcW w:w="2200" w:type="dxa"/>
            <w:vAlign w:val="bottom"/>
          </w:tcPr>
          <w:p>
            <w:pPr>
              <w:ind w:left="900"/>
              <w:spacing w:after="0"/>
              <w:rPr>
                <w:sz w:val="20"/>
                <w:szCs w:val="20"/>
                <w:color w:val="auto"/>
              </w:rPr>
            </w:pPr>
            <w:r>
              <w:rPr>
                <w:rFonts w:ascii="Times New Roman" w:cs="Times New Roman" w:eastAsia="Times New Roman" w:hAnsi="Times New Roman"/>
                <w:sz w:val="15"/>
                <w:szCs w:val="15"/>
                <w:color w:val="auto"/>
              </w:rPr>
              <w:t>Delaware</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Quahog Holding Company, LLC</w:t>
            </w:r>
          </w:p>
        </w:tc>
        <w:tc>
          <w:tcPr>
            <w:tcW w:w="2200" w:type="dxa"/>
            <w:vAlign w:val="bottom"/>
          </w:tcPr>
          <w:p>
            <w:pPr>
              <w:ind w:left="900"/>
              <w:spacing w:after="0"/>
              <w:rPr>
                <w:sz w:val="20"/>
                <w:szCs w:val="20"/>
                <w:color w:val="auto"/>
              </w:rPr>
            </w:pPr>
            <w:r>
              <w:rPr>
                <w:rFonts w:ascii="Times New Roman" w:cs="Times New Roman" w:eastAsia="Times New Roman" w:hAnsi="Times New Roman"/>
                <w:sz w:val="15"/>
                <w:szCs w:val="15"/>
                <w:color w:val="auto"/>
              </w:rPr>
              <w:t>Delaware</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Quantum Enterprises, PLLC</w:t>
            </w:r>
          </w:p>
        </w:tc>
        <w:tc>
          <w:tcPr>
            <w:tcW w:w="2200" w:type="dxa"/>
            <w:vAlign w:val="bottom"/>
          </w:tcPr>
          <w:p>
            <w:pPr>
              <w:ind w:left="900"/>
              <w:spacing w:after="0"/>
              <w:rPr>
                <w:sz w:val="20"/>
                <w:szCs w:val="20"/>
                <w:color w:val="auto"/>
              </w:rPr>
            </w:pPr>
            <w:r>
              <w:rPr>
                <w:rFonts w:ascii="Times New Roman" w:cs="Times New Roman" w:eastAsia="Times New Roman" w:hAnsi="Times New Roman"/>
                <w:sz w:val="15"/>
                <w:szCs w:val="15"/>
                <w:color w:val="auto"/>
              </w:rPr>
              <w:t>Colorado</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RC Eye Associates, PLLC</w:t>
            </w:r>
          </w:p>
        </w:tc>
        <w:tc>
          <w:tcPr>
            <w:tcW w:w="2200" w:type="dxa"/>
            <w:vAlign w:val="bottom"/>
          </w:tcPr>
          <w:p>
            <w:pPr>
              <w:ind w:left="900"/>
              <w:spacing w:after="0"/>
              <w:rPr>
                <w:sz w:val="20"/>
                <w:szCs w:val="20"/>
                <w:color w:val="auto"/>
              </w:rPr>
            </w:pPr>
            <w:r>
              <w:rPr>
                <w:rFonts w:ascii="Times New Roman" w:cs="Times New Roman" w:eastAsia="Times New Roman" w:hAnsi="Times New Roman"/>
                <w:sz w:val="15"/>
                <w:szCs w:val="15"/>
                <w:color w:val="auto"/>
              </w:rPr>
              <w:t>Texas</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Ridgewood Surgery and Endoscopy Center, LLC</w:t>
            </w:r>
          </w:p>
        </w:tc>
        <w:tc>
          <w:tcPr>
            <w:tcW w:w="2200" w:type="dxa"/>
            <w:vAlign w:val="bottom"/>
          </w:tcPr>
          <w:p>
            <w:pPr>
              <w:ind w:left="900"/>
              <w:spacing w:after="0"/>
              <w:rPr>
                <w:sz w:val="20"/>
                <w:szCs w:val="20"/>
                <w:color w:val="auto"/>
              </w:rPr>
            </w:pPr>
            <w:r>
              <w:rPr>
                <w:rFonts w:ascii="Times New Roman" w:cs="Times New Roman" w:eastAsia="Times New Roman" w:hAnsi="Times New Roman"/>
                <w:sz w:val="15"/>
                <w:szCs w:val="15"/>
                <w:color w:val="auto"/>
              </w:rPr>
              <w:t>Delaware</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Riverside Billing &amp; Management Company, LLC</w:t>
            </w:r>
          </w:p>
        </w:tc>
        <w:tc>
          <w:tcPr>
            <w:tcW w:w="2200" w:type="dxa"/>
            <w:vAlign w:val="bottom"/>
          </w:tcPr>
          <w:p>
            <w:pPr>
              <w:ind w:left="900"/>
              <w:spacing w:after="0"/>
              <w:rPr>
                <w:sz w:val="20"/>
                <w:szCs w:val="20"/>
                <w:color w:val="auto"/>
              </w:rPr>
            </w:pPr>
            <w:r>
              <w:rPr>
                <w:rFonts w:ascii="Times New Roman" w:cs="Times New Roman" w:eastAsia="Times New Roman" w:hAnsi="Times New Roman"/>
                <w:sz w:val="15"/>
                <w:szCs w:val="15"/>
                <w:color w:val="auto"/>
              </w:rPr>
              <w:t>Florida</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Riverside Spine &amp; Pain Physicians, LLC</w:t>
            </w:r>
          </w:p>
        </w:tc>
        <w:tc>
          <w:tcPr>
            <w:tcW w:w="2200" w:type="dxa"/>
            <w:vAlign w:val="bottom"/>
          </w:tcPr>
          <w:p>
            <w:pPr>
              <w:ind w:left="900"/>
              <w:spacing w:after="0"/>
              <w:rPr>
                <w:sz w:val="20"/>
                <w:szCs w:val="20"/>
                <w:color w:val="auto"/>
              </w:rPr>
            </w:pPr>
            <w:r>
              <w:rPr>
                <w:rFonts w:ascii="Times New Roman" w:cs="Times New Roman" w:eastAsia="Times New Roman" w:hAnsi="Times New Roman"/>
                <w:sz w:val="15"/>
                <w:szCs w:val="15"/>
                <w:color w:val="auto"/>
              </w:rPr>
              <w:t>Florida</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Riverside Surgical Center, LLC</w:t>
            </w:r>
          </w:p>
        </w:tc>
        <w:tc>
          <w:tcPr>
            <w:tcW w:w="2200" w:type="dxa"/>
            <w:vAlign w:val="bottom"/>
          </w:tcPr>
          <w:p>
            <w:pPr>
              <w:ind w:left="900"/>
              <w:spacing w:after="0"/>
              <w:rPr>
                <w:sz w:val="20"/>
                <w:szCs w:val="20"/>
                <w:color w:val="auto"/>
              </w:rPr>
            </w:pPr>
            <w:r>
              <w:rPr>
                <w:rFonts w:ascii="Times New Roman" w:cs="Times New Roman" w:eastAsia="Times New Roman" w:hAnsi="Times New Roman"/>
                <w:sz w:val="15"/>
                <w:szCs w:val="15"/>
                <w:color w:val="auto"/>
              </w:rPr>
              <w:t>Florida</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SAM Holdco PC</w:t>
            </w:r>
          </w:p>
        </w:tc>
        <w:tc>
          <w:tcPr>
            <w:tcW w:w="2200" w:type="dxa"/>
            <w:vAlign w:val="bottom"/>
          </w:tcPr>
          <w:p>
            <w:pPr>
              <w:ind w:left="900"/>
              <w:spacing w:after="0"/>
              <w:rPr>
                <w:sz w:val="20"/>
                <w:szCs w:val="20"/>
                <w:color w:val="auto"/>
              </w:rPr>
            </w:pPr>
            <w:r>
              <w:rPr>
                <w:rFonts w:ascii="Times New Roman" w:cs="Times New Roman" w:eastAsia="Times New Roman" w:hAnsi="Times New Roman"/>
                <w:sz w:val="15"/>
                <w:szCs w:val="15"/>
                <w:color w:val="auto"/>
              </w:rPr>
              <w:t>Georgia</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5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San Jose ASC Holdings, LLC</w:t>
            </w:r>
          </w:p>
        </w:tc>
        <w:tc>
          <w:tcPr>
            <w:tcW w:w="2200" w:type="dxa"/>
            <w:vAlign w:val="bottom"/>
          </w:tcPr>
          <w:p>
            <w:pPr>
              <w:ind w:left="900"/>
              <w:spacing w:after="0"/>
              <w:rPr>
                <w:sz w:val="20"/>
                <w:szCs w:val="20"/>
                <w:color w:val="auto"/>
              </w:rPr>
            </w:pPr>
            <w:r>
              <w:rPr>
                <w:rFonts w:ascii="Times New Roman" w:cs="Times New Roman" w:eastAsia="Times New Roman" w:hAnsi="Times New Roman"/>
                <w:sz w:val="17"/>
                <w:szCs w:val="17"/>
                <w:color w:val="auto"/>
              </w:rPr>
              <w:t>Delaware</w:t>
            </w:r>
          </w:p>
        </w:tc>
        <w:tc>
          <w:tcPr>
            <w:tcW w:w="4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45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Santa Barbara ASC Holdings, LLC</w:t>
            </w:r>
          </w:p>
        </w:tc>
        <w:tc>
          <w:tcPr>
            <w:tcW w:w="2200" w:type="dxa"/>
            <w:vAlign w:val="bottom"/>
          </w:tcPr>
          <w:p>
            <w:pPr>
              <w:ind w:left="900"/>
              <w:spacing w:after="0"/>
              <w:rPr>
                <w:sz w:val="20"/>
                <w:szCs w:val="20"/>
                <w:color w:val="auto"/>
              </w:rPr>
            </w:pPr>
            <w:r>
              <w:rPr>
                <w:rFonts w:ascii="Times New Roman" w:cs="Times New Roman" w:eastAsia="Times New Roman" w:hAnsi="Times New Roman"/>
                <w:sz w:val="15"/>
                <w:szCs w:val="15"/>
                <w:color w:val="auto"/>
              </w:rPr>
              <w:t>California</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Sarasota Ambulatory Surgery Center, Ltd.</w:t>
            </w:r>
          </w:p>
        </w:tc>
        <w:tc>
          <w:tcPr>
            <w:tcW w:w="2200" w:type="dxa"/>
            <w:vAlign w:val="bottom"/>
          </w:tcPr>
          <w:p>
            <w:pPr>
              <w:ind w:left="900"/>
              <w:spacing w:after="0"/>
              <w:rPr>
                <w:sz w:val="20"/>
                <w:szCs w:val="20"/>
                <w:color w:val="auto"/>
              </w:rPr>
            </w:pPr>
            <w:r>
              <w:rPr>
                <w:rFonts w:ascii="Times New Roman" w:cs="Times New Roman" w:eastAsia="Times New Roman" w:hAnsi="Times New Roman"/>
                <w:sz w:val="15"/>
                <w:szCs w:val="15"/>
                <w:color w:val="auto"/>
              </w:rPr>
              <w:t>Florida</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SARC/Asheville, LLC</w:t>
            </w:r>
          </w:p>
        </w:tc>
        <w:tc>
          <w:tcPr>
            <w:tcW w:w="2200" w:type="dxa"/>
            <w:vAlign w:val="bottom"/>
          </w:tcPr>
          <w:p>
            <w:pPr>
              <w:ind w:left="900"/>
              <w:spacing w:after="0"/>
              <w:rPr>
                <w:sz w:val="20"/>
                <w:szCs w:val="20"/>
                <w:color w:val="auto"/>
              </w:rPr>
            </w:pPr>
            <w:r>
              <w:rPr>
                <w:rFonts w:ascii="Times New Roman" w:cs="Times New Roman" w:eastAsia="Times New Roman" w:hAnsi="Times New Roman"/>
                <w:sz w:val="15"/>
                <w:szCs w:val="15"/>
                <w:color w:val="auto"/>
              </w:rPr>
              <w:t>Tennessee</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40" w:top="973" w:right="339" w:bottom="1440" w:gutter="0" w:footer="0" w:header="0"/>
        </w:sectPr>
      </w:pPr>
    </w:p>
    <w:bookmarkStart w:id="95" w:name="page96"/>
    <w:bookmarkEnd w:id="9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500" w:type="dxa"/>
            <w:vAlign w:val="bottom"/>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rPr>
              <w:t>Entity Name</w:t>
            </w:r>
          </w:p>
        </w:tc>
        <w:tc>
          <w:tcPr>
            <w:tcW w:w="2200" w:type="dxa"/>
            <w:vAlign w:val="bottom"/>
          </w:tcPr>
          <w:p>
            <w:pPr>
              <w:ind w:left="900"/>
              <w:spacing w:after="0"/>
              <w:rPr>
                <w:sz w:val="20"/>
                <w:szCs w:val="20"/>
                <w:color w:val="auto"/>
              </w:rPr>
            </w:pPr>
            <w:r>
              <w:rPr>
                <w:rFonts w:ascii="Times New Roman" w:cs="Times New Roman" w:eastAsia="Times New Roman" w:hAnsi="Times New Roman"/>
                <w:sz w:val="15"/>
                <w:szCs w:val="15"/>
                <w:b w:val="1"/>
                <w:bCs w:val="1"/>
                <w:color w:val="auto"/>
              </w:rPr>
              <w:t>Jurisdiction of</w:t>
            </w:r>
          </w:p>
        </w:tc>
        <w:tc>
          <w:tcPr>
            <w:tcW w:w="4520" w:type="dxa"/>
            <w:vAlign w:val="bottom"/>
            <w:vMerge w:val="restart"/>
          </w:tcPr>
          <w:p>
            <w:pPr>
              <w:ind w:left="320"/>
              <w:spacing w:after="0"/>
              <w:rPr>
                <w:sz w:val="20"/>
                <w:szCs w:val="20"/>
                <w:color w:val="auto"/>
              </w:rPr>
            </w:pPr>
            <w:r>
              <w:rPr>
                <w:rFonts w:ascii="Times New Roman" w:cs="Times New Roman" w:eastAsia="Times New Roman" w:hAnsi="Times New Roman"/>
                <w:sz w:val="15"/>
                <w:szCs w:val="15"/>
                <w:b w:val="1"/>
                <w:bCs w:val="1"/>
                <w:color w:val="auto"/>
              </w:rPr>
              <w:t>Doing Business As</w:t>
            </w:r>
          </w:p>
        </w:tc>
        <w:tc>
          <w:tcPr>
            <w:tcW w:w="0" w:type="dxa"/>
            <w:vAlign w:val="bottom"/>
          </w:tcPr>
          <w:p>
            <w:pPr>
              <w:spacing w:after="0"/>
              <w:rPr>
                <w:sz w:val="1"/>
                <w:szCs w:val="1"/>
                <w:color w:val="auto"/>
              </w:rPr>
            </w:pPr>
          </w:p>
        </w:tc>
      </w:tr>
      <w:tr>
        <w:trPr>
          <w:trHeight w:val="205"/>
        </w:trPr>
        <w:tc>
          <w:tcPr>
            <w:tcW w:w="4500" w:type="dxa"/>
            <w:vAlign w:val="bottom"/>
            <w:tcBorders>
              <w:bottom w:val="single" w:sz="8" w:color="auto"/>
            </w:tcBorders>
            <w:vMerge w:val="continue"/>
          </w:tcPr>
          <w:p>
            <w:pPr>
              <w:spacing w:after="0"/>
              <w:rPr>
                <w:sz w:val="17"/>
                <w:szCs w:val="17"/>
                <w:color w:val="auto"/>
              </w:rPr>
            </w:pPr>
          </w:p>
        </w:tc>
        <w:tc>
          <w:tcPr>
            <w:tcW w:w="220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5"/>
                <w:szCs w:val="15"/>
                <w:b w:val="1"/>
                <w:bCs w:val="1"/>
                <w:color w:val="auto"/>
              </w:rPr>
              <w:t>Organization</w:t>
            </w:r>
          </w:p>
        </w:tc>
        <w:tc>
          <w:tcPr>
            <w:tcW w:w="45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5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SARC/Ft. Myers, Inc.</w:t>
            </w:r>
          </w:p>
        </w:tc>
        <w:tc>
          <w:tcPr>
            <w:tcW w:w="2200" w:type="dxa"/>
            <w:vAlign w:val="bottom"/>
          </w:tcPr>
          <w:p>
            <w:pPr>
              <w:ind w:left="900"/>
              <w:spacing w:after="0"/>
              <w:rPr>
                <w:sz w:val="20"/>
                <w:szCs w:val="20"/>
                <w:color w:val="auto"/>
              </w:rPr>
            </w:pPr>
            <w:r>
              <w:rPr>
                <w:rFonts w:ascii="Times New Roman" w:cs="Times New Roman" w:eastAsia="Times New Roman" w:hAnsi="Times New Roman"/>
                <w:sz w:val="15"/>
                <w:szCs w:val="15"/>
                <w:color w:val="auto"/>
              </w:rPr>
              <w:t>Tennessee</w:t>
            </w:r>
          </w:p>
        </w:tc>
        <w:tc>
          <w:tcPr>
            <w:tcW w:w="4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5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SARC/Georgia, Inc.</w:t>
            </w:r>
          </w:p>
        </w:tc>
        <w:tc>
          <w:tcPr>
            <w:tcW w:w="2200" w:type="dxa"/>
            <w:vAlign w:val="bottom"/>
          </w:tcPr>
          <w:p>
            <w:pPr>
              <w:ind w:left="900"/>
              <w:spacing w:after="0"/>
              <w:rPr>
                <w:sz w:val="20"/>
                <w:szCs w:val="20"/>
                <w:color w:val="auto"/>
              </w:rPr>
            </w:pPr>
            <w:r>
              <w:rPr>
                <w:rFonts w:ascii="Times New Roman" w:cs="Times New Roman" w:eastAsia="Times New Roman" w:hAnsi="Times New Roman"/>
                <w:sz w:val="15"/>
                <w:szCs w:val="15"/>
                <w:color w:val="auto"/>
              </w:rPr>
              <w:t>Tennessee</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SARC/Kent, LLC</w:t>
            </w:r>
          </w:p>
        </w:tc>
        <w:tc>
          <w:tcPr>
            <w:tcW w:w="2200" w:type="dxa"/>
            <w:vAlign w:val="bottom"/>
          </w:tcPr>
          <w:p>
            <w:pPr>
              <w:ind w:left="900"/>
              <w:spacing w:after="0"/>
              <w:rPr>
                <w:sz w:val="20"/>
                <w:szCs w:val="20"/>
                <w:color w:val="auto"/>
              </w:rPr>
            </w:pPr>
            <w:r>
              <w:rPr>
                <w:rFonts w:ascii="Times New Roman" w:cs="Times New Roman" w:eastAsia="Times New Roman" w:hAnsi="Times New Roman"/>
                <w:sz w:val="15"/>
                <w:szCs w:val="15"/>
                <w:color w:val="auto"/>
              </w:rPr>
              <w:t>Tennessee</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SARC/Largo Endoscopy, LLC</w:t>
            </w:r>
          </w:p>
        </w:tc>
        <w:tc>
          <w:tcPr>
            <w:tcW w:w="2200" w:type="dxa"/>
            <w:vAlign w:val="bottom"/>
          </w:tcPr>
          <w:p>
            <w:pPr>
              <w:ind w:left="900"/>
              <w:spacing w:after="0"/>
              <w:rPr>
                <w:sz w:val="20"/>
                <w:szCs w:val="20"/>
                <w:color w:val="auto"/>
              </w:rPr>
            </w:pPr>
            <w:r>
              <w:rPr>
                <w:rFonts w:ascii="Times New Roman" w:cs="Times New Roman" w:eastAsia="Times New Roman" w:hAnsi="Times New Roman"/>
                <w:sz w:val="15"/>
                <w:szCs w:val="15"/>
                <w:color w:val="auto"/>
              </w:rPr>
              <w:t>Tennessee</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SARC/Largo, Inc.</w:t>
            </w:r>
          </w:p>
        </w:tc>
        <w:tc>
          <w:tcPr>
            <w:tcW w:w="2200" w:type="dxa"/>
            <w:vAlign w:val="bottom"/>
          </w:tcPr>
          <w:p>
            <w:pPr>
              <w:ind w:left="900"/>
              <w:spacing w:after="0"/>
              <w:rPr>
                <w:sz w:val="20"/>
                <w:szCs w:val="20"/>
                <w:color w:val="auto"/>
              </w:rPr>
            </w:pPr>
            <w:r>
              <w:rPr>
                <w:rFonts w:ascii="Times New Roman" w:cs="Times New Roman" w:eastAsia="Times New Roman" w:hAnsi="Times New Roman"/>
                <w:sz w:val="15"/>
                <w:szCs w:val="15"/>
                <w:color w:val="auto"/>
              </w:rPr>
              <w:t>Tennessee</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SARC/Providence, LLC</w:t>
            </w:r>
          </w:p>
        </w:tc>
        <w:tc>
          <w:tcPr>
            <w:tcW w:w="2200" w:type="dxa"/>
            <w:vAlign w:val="bottom"/>
          </w:tcPr>
          <w:p>
            <w:pPr>
              <w:ind w:left="900"/>
              <w:spacing w:after="0"/>
              <w:rPr>
                <w:sz w:val="20"/>
                <w:szCs w:val="20"/>
                <w:color w:val="auto"/>
              </w:rPr>
            </w:pPr>
            <w:r>
              <w:rPr>
                <w:rFonts w:ascii="Times New Roman" w:cs="Times New Roman" w:eastAsia="Times New Roman" w:hAnsi="Times New Roman"/>
                <w:sz w:val="15"/>
                <w:szCs w:val="15"/>
                <w:color w:val="auto"/>
              </w:rPr>
              <w:t>Tennessee</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SARC/St. Charles, Inc.</w:t>
            </w:r>
          </w:p>
        </w:tc>
        <w:tc>
          <w:tcPr>
            <w:tcW w:w="2200" w:type="dxa"/>
            <w:vAlign w:val="bottom"/>
          </w:tcPr>
          <w:p>
            <w:pPr>
              <w:ind w:left="900"/>
              <w:spacing w:after="0"/>
              <w:rPr>
                <w:sz w:val="20"/>
                <w:szCs w:val="20"/>
                <w:color w:val="auto"/>
              </w:rPr>
            </w:pPr>
            <w:r>
              <w:rPr>
                <w:rFonts w:ascii="Times New Roman" w:cs="Times New Roman" w:eastAsia="Times New Roman" w:hAnsi="Times New Roman"/>
                <w:sz w:val="15"/>
                <w:szCs w:val="15"/>
                <w:color w:val="auto"/>
              </w:rPr>
              <w:t>Tennessee</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SCA Holdco PC</w:t>
            </w:r>
          </w:p>
        </w:tc>
        <w:tc>
          <w:tcPr>
            <w:tcW w:w="2200" w:type="dxa"/>
            <w:vAlign w:val="bottom"/>
          </w:tcPr>
          <w:p>
            <w:pPr>
              <w:ind w:left="900"/>
              <w:spacing w:after="0"/>
              <w:rPr>
                <w:sz w:val="20"/>
                <w:szCs w:val="20"/>
                <w:color w:val="auto"/>
              </w:rPr>
            </w:pPr>
            <w:r>
              <w:rPr>
                <w:rFonts w:ascii="Times New Roman" w:cs="Times New Roman" w:eastAsia="Times New Roman" w:hAnsi="Times New Roman"/>
                <w:sz w:val="15"/>
                <w:szCs w:val="15"/>
                <w:color w:val="auto"/>
              </w:rPr>
              <w:t>Georgia</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SCNA Holdco PC</w:t>
            </w:r>
          </w:p>
        </w:tc>
        <w:tc>
          <w:tcPr>
            <w:tcW w:w="2200" w:type="dxa"/>
            <w:vAlign w:val="bottom"/>
          </w:tcPr>
          <w:p>
            <w:pPr>
              <w:ind w:left="900"/>
              <w:spacing w:after="0"/>
              <w:rPr>
                <w:sz w:val="20"/>
                <w:szCs w:val="20"/>
                <w:color w:val="auto"/>
              </w:rPr>
            </w:pPr>
            <w:r>
              <w:rPr>
                <w:rFonts w:ascii="Times New Roman" w:cs="Times New Roman" w:eastAsia="Times New Roman" w:hAnsi="Times New Roman"/>
                <w:sz w:val="15"/>
                <w:szCs w:val="15"/>
                <w:color w:val="auto"/>
              </w:rPr>
              <w:t>Georgia</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Screven County Family Health Center, LLC</w:t>
            </w:r>
          </w:p>
        </w:tc>
        <w:tc>
          <w:tcPr>
            <w:tcW w:w="2200" w:type="dxa"/>
            <w:vAlign w:val="bottom"/>
          </w:tcPr>
          <w:p>
            <w:pPr>
              <w:ind w:left="900"/>
              <w:spacing w:after="0"/>
              <w:rPr>
                <w:sz w:val="20"/>
                <w:szCs w:val="20"/>
                <w:color w:val="auto"/>
              </w:rPr>
            </w:pPr>
            <w:r>
              <w:rPr>
                <w:rFonts w:ascii="Times New Roman" w:cs="Times New Roman" w:eastAsia="Times New Roman" w:hAnsi="Times New Roman"/>
                <w:sz w:val="15"/>
                <w:szCs w:val="15"/>
                <w:color w:val="auto"/>
              </w:rPr>
              <w:t>Georgia</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Screven County Hospital, LLC</w:t>
            </w:r>
          </w:p>
        </w:tc>
        <w:tc>
          <w:tcPr>
            <w:tcW w:w="2200" w:type="dxa"/>
            <w:vAlign w:val="bottom"/>
          </w:tcPr>
          <w:p>
            <w:pPr>
              <w:ind w:left="900"/>
              <w:spacing w:after="0"/>
              <w:rPr>
                <w:sz w:val="20"/>
                <w:szCs w:val="20"/>
                <w:color w:val="auto"/>
              </w:rPr>
            </w:pPr>
            <w:r>
              <w:rPr>
                <w:rFonts w:ascii="Times New Roman" w:cs="Times New Roman" w:eastAsia="Times New Roman" w:hAnsi="Times New Roman"/>
                <w:sz w:val="15"/>
                <w:szCs w:val="15"/>
                <w:color w:val="auto"/>
              </w:rPr>
              <w:t>Georgia</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SGRY, LLC</w:t>
            </w:r>
          </w:p>
        </w:tc>
        <w:tc>
          <w:tcPr>
            <w:tcW w:w="2200" w:type="dxa"/>
            <w:vAlign w:val="bottom"/>
          </w:tcPr>
          <w:p>
            <w:pPr>
              <w:ind w:left="900"/>
              <w:spacing w:after="0"/>
              <w:rPr>
                <w:sz w:val="20"/>
                <w:szCs w:val="20"/>
                <w:color w:val="auto"/>
              </w:rPr>
            </w:pPr>
            <w:r>
              <w:rPr>
                <w:rFonts w:ascii="Times New Roman" w:cs="Times New Roman" w:eastAsia="Times New Roman" w:hAnsi="Times New Roman"/>
                <w:sz w:val="15"/>
                <w:szCs w:val="15"/>
                <w:color w:val="auto"/>
              </w:rPr>
              <w:t>Delaware</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SGRY Holdings, LP</w:t>
            </w:r>
          </w:p>
        </w:tc>
        <w:tc>
          <w:tcPr>
            <w:tcW w:w="2200" w:type="dxa"/>
            <w:vAlign w:val="bottom"/>
          </w:tcPr>
          <w:p>
            <w:pPr>
              <w:ind w:left="900"/>
              <w:spacing w:after="0"/>
              <w:rPr>
                <w:sz w:val="20"/>
                <w:szCs w:val="20"/>
                <w:color w:val="auto"/>
              </w:rPr>
            </w:pPr>
            <w:r>
              <w:rPr>
                <w:rFonts w:ascii="Times New Roman" w:cs="Times New Roman" w:eastAsia="Times New Roman" w:hAnsi="Times New Roman"/>
                <w:sz w:val="15"/>
                <w:szCs w:val="15"/>
                <w:color w:val="auto"/>
              </w:rPr>
              <w:t>Tennessee</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Skyway Surgery Center, LLC</w:t>
            </w:r>
          </w:p>
        </w:tc>
        <w:tc>
          <w:tcPr>
            <w:tcW w:w="2200" w:type="dxa"/>
            <w:vAlign w:val="bottom"/>
          </w:tcPr>
          <w:p>
            <w:pPr>
              <w:ind w:left="900"/>
              <w:spacing w:after="0"/>
              <w:rPr>
                <w:sz w:val="20"/>
                <w:szCs w:val="20"/>
                <w:color w:val="auto"/>
              </w:rPr>
            </w:pPr>
            <w:r>
              <w:rPr>
                <w:rFonts w:ascii="Times New Roman" w:cs="Times New Roman" w:eastAsia="Times New Roman" w:hAnsi="Times New Roman"/>
                <w:sz w:val="15"/>
                <w:szCs w:val="15"/>
                <w:color w:val="auto"/>
              </w:rPr>
              <w:t>California</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SMBI DOCS, LLC</w:t>
            </w:r>
          </w:p>
        </w:tc>
        <w:tc>
          <w:tcPr>
            <w:tcW w:w="2200" w:type="dxa"/>
            <w:vAlign w:val="bottom"/>
          </w:tcPr>
          <w:p>
            <w:pPr>
              <w:ind w:left="900"/>
              <w:spacing w:after="0"/>
              <w:rPr>
                <w:sz w:val="20"/>
                <w:szCs w:val="20"/>
                <w:color w:val="auto"/>
              </w:rPr>
            </w:pPr>
            <w:r>
              <w:rPr>
                <w:rFonts w:ascii="Times New Roman" w:cs="Times New Roman" w:eastAsia="Times New Roman" w:hAnsi="Times New Roman"/>
                <w:sz w:val="15"/>
                <w:szCs w:val="15"/>
                <w:color w:val="auto"/>
              </w:rPr>
              <w:t>Tennessee</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SMBI Great Falls, LLC</w:t>
            </w:r>
          </w:p>
        </w:tc>
        <w:tc>
          <w:tcPr>
            <w:tcW w:w="2200" w:type="dxa"/>
            <w:vAlign w:val="bottom"/>
          </w:tcPr>
          <w:p>
            <w:pPr>
              <w:ind w:left="900"/>
              <w:spacing w:after="0"/>
              <w:rPr>
                <w:sz w:val="20"/>
                <w:szCs w:val="20"/>
                <w:color w:val="auto"/>
              </w:rPr>
            </w:pPr>
            <w:r>
              <w:rPr>
                <w:rFonts w:ascii="Times New Roman" w:cs="Times New Roman" w:eastAsia="Times New Roman" w:hAnsi="Times New Roman"/>
                <w:sz w:val="15"/>
                <w:szCs w:val="15"/>
                <w:color w:val="auto"/>
              </w:rPr>
              <w:t>Tennessee</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SMBI Havertown, LLC</w:t>
            </w:r>
          </w:p>
        </w:tc>
        <w:tc>
          <w:tcPr>
            <w:tcW w:w="2200" w:type="dxa"/>
            <w:vAlign w:val="bottom"/>
          </w:tcPr>
          <w:p>
            <w:pPr>
              <w:ind w:left="900"/>
              <w:spacing w:after="0"/>
              <w:rPr>
                <w:sz w:val="20"/>
                <w:szCs w:val="20"/>
                <w:color w:val="auto"/>
              </w:rPr>
            </w:pPr>
            <w:r>
              <w:rPr>
                <w:rFonts w:ascii="Times New Roman" w:cs="Times New Roman" w:eastAsia="Times New Roman" w:hAnsi="Times New Roman"/>
                <w:sz w:val="15"/>
                <w:szCs w:val="15"/>
                <w:color w:val="auto"/>
              </w:rPr>
              <w:t>Tennessee</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SMBI Idaho, LLC</w:t>
            </w:r>
          </w:p>
        </w:tc>
        <w:tc>
          <w:tcPr>
            <w:tcW w:w="2200" w:type="dxa"/>
            <w:vAlign w:val="bottom"/>
          </w:tcPr>
          <w:p>
            <w:pPr>
              <w:ind w:left="900"/>
              <w:spacing w:after="0"/>
              <w:rPr>
                <w:sz w:val="20"/>
                <w:szCs w:val="20"/>
                <w:color w:val="auto"/>
              </w:rPr>
            </w:pPr>
            <w:r>
              <w:rPr>
                <w:rFonts w:ascii="Times New Roman" w:cs="Times New Roman" w:eastAsia="Times New Roman" w:hAnsi="Times New Roman"/>
                <w:sz w:val="15"/>
                <w:szCs w:val="15"/>
                <w:color w:val="auto"/>
              </w:rPr>
              <w:t>Tennessee</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SMBI LHH, LLC</w:t>
            </w:r>
          </w:p>
        </w:tc>
        <w:tc>
          <w:tcPr>
            <w:tcW w:w="2200" w:type="dxa"/>
            <w:vAlign w:val="bottom"/>
          </w:tcPr>
          <w:p>
            <w:pPr>
              <w:ind w:left="900"/>
              <w:spacing w:after="0"/>
              <w:rPr>
                <w:sz w:val="20"/>
                <w:szCs w:val="20"/>
                <w:color w:val="auto"/>
              </w:rPr>
            </w:pPr>
            <w:r>
              <w:rPr>
                <w:rFonts w:ascii="Times New Roman" w:cs="Times New Roman" w:eastAsia="Times New Roman" w:hAnsi="Times New Roman"/>
                <w:sz w:val="15"/>
                <w:szCs w:val="15"/>
                <w:color w:val="auto"/>
              </w:rPr>
              <w:t>Delaware</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SMBI Portsmouth, LLC</w:t>
            </w:r>
          </w:p>
        </w:tc>
        <w:tc>
          <w:tcPr>
            <w:tcW w:w="2200" w:type="dxa"/>
            <w:vAlign w:val="bottom"/>
          </w:tcPr>
          <w:p>
            <w:pPr>
              <w:ind w:left="900"/>
              <w:spacing w:after="0"/>
              <w:rPr>
                <w:sz w:val="20"/>
                <w:szCs w:val="20"/>
                <w:color w:val="auto"/>
              </w:rPr>
            </w:pPr>
            <w:r>
              <w:rPr>
                <w:rFonts w:ascii="Times New Roman" w:cs="Times New Roman" w:eastAsia="Times New Roman" w:hAnsi="Times New Roman"/>
                <w:sz w:val="15"/>
                <w:szCs w:val="15"/>
                <w:color w:val="auto"/>
              </w:rPr>
              <w:t>Tennessee</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SMBI STLWSC, LLC</w:t>
            </w:r>
          </w:p>
        </w:tc>
        <w:tc>
          <w:tcPr>
            <w:tcW w:w="2200" w:type="dxa"/>
            <w:vAlign w:val="bottom"/>
          </w:tcPr>
          <w:p>
            <w:pPr>
              <w:ind w:left="900"/>
              <w:spacing w:after="0"/>
              <w:rPr>
                <w:sz w:val="20"/>
                <w:szCs w:val="20"/>
                <w:color w:val="auto"/>
              </w:rPr>
            </w:pPr>
            <w:r>
              <w:rPr>
                <w:rFonts w:ascii="Times New Roman" w:cs="Times New Roman" w:eastAsia="Times New Roman" w:hAnsi="Times New Roman"/>
                <w:sz w:val="15"/>
                <w:szCs w:val="15"/>
                <w:color w:val="auto"/>
              </w:rPr>
              <w:t>Tennessee</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SMBIMS Birmingham, LLC</w:t>
            </w:r>
          </w:p>
        </w:tc>
        <w:tc>
          <w:tcPr>
            <w:tcW w:w="2200" w:type="dxa"/>
            <w:vAlign w:val="bottom"/>
          </w:tcPr>
          <w:p>
            <w:pPr>
              <w:ind w:left="900"/>
              <w:spacing w:after="0"/>
              <w:rPr>
                <w:sz w:val="20"/>
                <w:szCs w:val="20"/>
                <w:color w:val="auto"/>
              </w:rPr>
            </w:pPr>
            <w:r>
              <w:rPr>
                <w:rFonts w:ascii="Times New Roman" w:cs="Times New Roman" w:eastAsia="Times New Roman" w:hAnsi="Times New Roman"/>
                <w:sz w:val="15"/>
                <w:szCs w:val="15"/>
                <w:color w:val="auto"/>
              </w:rPr>
              <w:t>Tennessee</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SMBIMS Durango, LLC</w:t>
            </w:r>
          </w:p>
        </w:tc>
        <w:tc>
          <w:tcPr>
            <w:tcW w:w="2200" w:type="dxa"/>
            <w:vAlign w:val="bottom"/>
          </w:tcPr>
          <w:p>
            <w:pPr>
              <w:ind w:left="900"/>
              <w:spacing w:after="0"/>
              <w:rPr>
                <w:sz w:val="20"/>
                <w:szCs w:val="20"/>
                <w:color w:val="auto"/>
              </w:rPr>
            </w:pPr>
            <w:r>
              <w:rPr>
                <w:rFonts w:ascii="Times New Roman" w:cs="Times New Roman" w:eastAsia="Times New Roman" w:hAnsi="Times New Roman"/>
                <w:sz w:val="15"/>
                <w:szCs w:val="15"/>
                <w:color w:val="auto"/>
              </w:rPr>
              <w:t>Tennessee</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SMBIMS Florida I, LLC</w:t>
            </w:r>
          </w:p>
        </w:tc>
        <w:tc>
          <w:tcPr>
            <w:tcW w:w="2200" w:type="dxa"/>
            <w:vAlign w:val="bottom"/>
          </w:tcPr>
          <w:p>
            <w:pPr>
              <w:ind w:left="900"/>
              <w:spacing w:after="0"/>
              <w:rPr>
                <w:sz w:val="20"/>
                <w:szCs w:val="20"/>
                <w:color w:val="auto"/>
              </w:rPr>
            </w:pPr>
            <w:r>
              <w:rPr>
                <w:rFonts w:ascii="Times New Roman" w:cs="Times New Roman" w:eastAsia="Times New Roman" w:hAnsi="Times New Roman"/>
                <w:sz w:val="15"/>
                <w:szCs w:val="15"/>
                <w:color w:val="auto"/>
              </w:rPr>
              <w:t>Florida</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SMBIMS Kirkwood, LLC</w:t>
            </w:r>
          </w:p>
        </w:tc>
        <w:tc>
          <w:tcPr>
            <w:tcW w:w="2200" w:type="dxa"/>
            <w:vAlign w:val="bottom"/>
          </w:tcPr>
          <w:p>
            <w:pPr>
              <w:ind w:left="900"/>
              <w:spacing w:after="0"/>
              <w:rPr>
                <w:sz w:val="20"/>
                <w:szCs w:val="20"/>
                <w:color w:val="auto"/>
              </w:rPr>
            </w:pPr>
            <w:r>
              <w:rPr>
                <w:rFonts w:ascii="Times New Roman" w:cs="Times New Roman" w:eastAsia="Times New Roman" w:hAnsi="Times New Roman"/>
                <w:sz w:val="15"/>
                <w:szCs w:val="15"/>
                <w:color w:val="auto"/>
              </w:rPr>
              <w:t>Tennessee</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SMBIMS Steubenville, Inc.</w:t>
            </w:r>
          </w:p>
        </w:tc>
        <w:tc>
          <w:tcPr>
            <w:tcW w:w="2200" w:type="dxa"/>
            <w:vAlign w:val="bottom"/>
          </w:tcPr>
          <w:p>
            <w:pPr>
              <w:ind w:left="900"/>
              <w:spacing w:after="0"/>
              <w:rPr>
                <w:sz w:val="20"/>
                <w:szCs w:val="20"/>
                <w:color w:val="auto"/>
              </w:rPr>
            </w:pPr>
            <w:r>
              <w:rPr>
                <w:rFonts w:ascii="Times New Roman" w:cs="Times New Roman" w:eastAsia="Times New Roman" w:hAnsi="Times New Roman"/>
                <w:sz w:val="15"/>
                <w:szCs w:val="15"/>
                <w:color w:val="auto"/>
              </w:rPr>
              <w:t>Tennessee</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SMBIMS Wichita, LLC</w:t>
            </w:r>
          </w:p>
        </w:tc>
        <w:tc>
          <w:tcPr>
            <w:tcW w:w="2200" w:type="dxa"/>
            <w:vAlign w:val="bottom"/>
          </w:tcPr>
          <w:p>
            <w:pPr>
              <w:ind w:left="900"/>
              <w:spacing w:after="0"/>
              <w:rPr>
                <w:sz w:val="20"/>
                <w:szCs w:val="20"/>
                <w:color w:val="auto"/>
              </w:rPr>
            </w:pPr>
            <w:r>
              <w:rPr>
                <w:rFonts w:ascii="Times New Roman" w:cs="Times New Roman" w:eastAsia="Times New Roman" w:hAnsi="Times New Roman"/>
                <w:sz w:val="15"/>
                <w:szCs w:val="15"/>
                <w:color w:val="auto"/>
              </w:rPr>
              <w:t>Tennessee</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SMBISS Beverly Hills, LLC</w:t>
            </w:r>
          </w:p>
        </w:tc>
        <w:tc>
          <w:tcPr>
            <w:tcW w:w="2200" w:type="dxa"/>
            <w:vAlign w:val="bottom"/>
          </w:tcPr>
          <w:p>
            <w:pPr>
              <w:ind w:left="900"/>
              <w:spacing w:after="0"/>
              <w:rPr>
                <w:sz w:val="20"/>
                <w:szCs w:val="20"/>
                <w:color w:val="auto"/>
              </w:rPr>
            </w:pPr>
            <w:r>
              <w:rPr>
                <w:rFonts w:ascii="Times New Roman" w:cs="Times New Roman" w:eastAsia="Times New Roman" w:hAnsi="Times New Roman"/>
                <w:sz w:val="15"/>
                <w:szCs w:val="15"/>
                <w:color w:val="auto"/>
              </w:rPr>
              <w:t>Tennessee</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SMBISS Chesterfield, LLC</w:t>
            </w:r>
          </w:p>
        </w:tc>
        <w:tc>
          <w:tcPr>
            <w:tcW w:w="2200" w:type="dxa"/>
            <w:vAlign w:val="bottom"/>
          </w:tcPr>
          <w:p>
            <w:pPr>
              <w:ind w:left="900"/>
              <w:spacing w:after="0"/>
              <w:rPr>
                <w:sz w:val="20"/>
                <w:szCs w:val="20"/>
                <w:color w:val="auto"/>
              </w:rPr>
            </w:pPr>
            <w:r>
              <w:rPr>
                <w:rFonts w:ascii="Times New Roman" w:cs="Times New Roman" w:eastAsia="Times New Roman" w:hAnsi="Times New Roman"/>
                <w:sz w:val="15"/>
                <w:szCs w:val="15"/>
                <w:color w:val="auto"/>
              </w:rPr>
              <w:t>Tennessee</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SMBISS Encino, LLC</w:t>
            </w:r>
          </w:p>
        </w:tc>
        <w:tc>
          <w:tcPr>
            <w:tcW w:w="2200" w:type="dxa"/>
            <w:vAlign w:val="bottom"/>
          </w:tcPr>
          <w:p>
            <w:pPr>
              <w:ind w:left="900"/>
              <w:spacing w:after="0"/>
              <w:rPr>
                <w:sz w:val="20"/>
                <w:szCs w:val="20"/>
                <w:color w:val="auto"/>
              </w:rPr>
            </w:pPr>
            <w:r>
              <w:rPr>
                <w:rFonts w:ascii="Times New Roman" w:cs="Times New Roman" w:eastAsia="Times New Roman" w:hAnsi="Times New Roman"/>
                <w:sz w:val="15"/>
                <w:szCs w:val="15"/>
                <w:color w:val="auto"/>
              </w:rPr>
              <w:t>Tennessee</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SMBISS Irvine, LLC</w:t>
            </w:r>
          </w:p>
        </w:tc>
        <w:tc>
          <w:tcPr>
            <w:tcW w:w="2200" w:type="dxa"/>
            <w:vAlign w:val="bottom"/>
          </w:tcPr>
          <w:p>
            <w:pPr>
              <w:ind w:left="900"/>
              <w:spacing w:after="0"/>
              <w:rPr>
                <w:sz w:val="20"/>
                <w:szCs w:val="20"/>
                <w:color w:val="auto"/>
              </w:rPr>
            </w:pPr>
            <w:r>
              <w:rPr>
                <w:rFonts w:ascii="Times New Roman" w:cs="Times New Roman" w:eastAsia="Times New Roman" w:hAnsi="Times New Roman"/>
                <w:sz w:val="15"/>
                <w:szCs w:val="15"/>
                <w:color w:val="auto"/>
              </w:rPr>
              <w:t>Tennessee</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SMBISS Thousand Oaks, LLC</w:t>
            </w:r>
          </w:p>
        </w:tc>
        <w:tc>
          <w:tcPr>
            <w:tcW w:w="2200" w:type="dxa"/>
            <w:vAlign w:val="bottom"/>
          </w:tcPr>
          <w:p>
            <w:pPr>
              <w:ind w:left="900"/>
              <w:spacing w:after="0"/>
              <w:rPr>
                <w:sz w:val="20"/>
                <w:szCs w:val="20"/>
                <w:color w:val="auto"/>
              </w:rPr>
            </w:pPr>
            <w:r>
              <w:rPr>
                <w:rFonts w:ascii="Times New Roman" w:cs="Times New Roman" w:eastAsia="Times New Roman" w:hAnsi="Times New Roman"/>
                <w:sz w:val="15"/>
                <w:szCs w:val="15"/>
                <w:color w:val="auto"/>
              </w:rPr>
              <w:t>Tennessee</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Snake River Hospitalists, LLC</w:t>
            </w:r>
          </w:p>
        </w:tc>
        <w:tc>
          <w:tcPr>
            <w:tcW w:w="2200" w:type="dxa"/>
            <w:vAlign w:val="bottom"/>
          </w:tcPr>
          <w:p>
            <w:pPr>
              <w:ind w:left="900"/>
              <w:spacing w:after="0"/>
              <w:rPr>
                <w:sz w:val="20"/>
                <w:szCs w:val="20"/>
                <w:color w:val="auto"/>
              </w:rPr>
            </w:pPr>
            <w:r>
              <w:rPr>
                <w:rFonts w:ascii="Times New Roman" w:cs="Times New Roman" w:eastAsia="Times New Roman" w:hAnsi="Times New Roman"/>
                <w:sz w:val="15"/>
                <w:szCs w:val="15"/>
                <w:color w:val="auto"/>
              </w:rPr>
              <w:t>Idaho</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Southeast Atlanta Vascular Care, LLC</w:t>
            </w:r>
          </w:p>
        </w:tc>
        <w:tc>
          <w:tcPr>
            <w:tcW w:w="2200" w:type="dxa"/>
            <w:vAlign w:val="bottom"/>
          </w:tcPr>
          <w:p>
            <w:pPr>
              <w:ind w:left="900"/>
              <w:spacing w:after="0"/>
              <w:rPr>
                <w:sz w:val="20"/>
                <w:szCs w:val="20"/>
                <w:color w:val="auto"/>
              </w:rPr>
            </w:pPr>
            <w:r>
              <w:rPr>
                <w:rFonts w:ascii="Times New Roman" w:cs="Times New Roman" w:eastAsia="Times New Roman" w:hAnsi="Times New Roman"/>
                <w:sz w:val="15"/>
                <w:szCs w:val="15"/>
                <w:color w:val="auto"/>
              </w:rPr>
              <w:t>Georgia</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Southpoint Surgery Center, LLC</w:t>
            </w:r>
          </w:p>
        </w:tc>
        <w:tc>
          <w:tcPr>
            <w:tcW w:w="2200" w:type="dxa"/>
            <w:vAlign w:val="bottom"/>
          </w:tcPr>
          <w:p>
            <w:pPr>
              <w:ind w:left="900"/>
              <w:spacing w:after="0"/>
              <w:rPr>
                <w:sz w:val="20"/>
                <w:szCs w:val="20"/>
                <w:color w:val="auto"/>
              </w:rPr>
            </w:pPr>
            <w:r>
              <w:rPr>
                <w:rFonts w:ascii="Times New Roman" w:cs="Times New Roman" w:eastAsia="Times New Roman" w:hAnsi="Times New Roman"/>
                <w:sz w:val="15"/>
                <w:szCs w:val="15"/>
                <w:color w:val="auto"/>
              </w:rPr>
              <w:t>North Carolina</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Southern Bone &amp; Joint Ambulatory Surgical Center, LLC</w:t>
            </w:r>
          </w:p>
        </w:tc>
        <w:tc>
          <w:tcPr>
            <w:tcW w:w="2200" w:type="dxa"/>
            <w:vAlign w:val="bottom"/>
          </w:tcPr>
          <w:p>
            <w:pPr>
              <w:ind w:left="900"/>
              <w:spacing w:after="0"/>
              <w:rPr>
                <w:sz w:val="20"/>
                <w:szCs w:val="20"/>
                <w:color w:val="auto"/>
              </w:rPr>
            </w:pPr>
            <w:r>
              <w:rPr>
                <w:rFonts w:ascii="Times New Roman" w:cs="Times New Roman" w:eastAsia="Times New Roman" w:hAnsi="Times New Roman"/>
                <w:sz w:val="15"/>
                <w:szCs w:val="15"/>
                <w:color w:val="auto"/>
              </w:rPr>
              <w:t>Georgia</w:t>
            </w:r>
          </w:p>
        </w:tc>
        <w:tc>
          <w:tcPr>
            <w:tcW w:w="452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Southern Bone &amp; Joint, LLC</w:t>
            </w:r>
          </w:p>
        </w:tc>
        <w:tc>
          <w:tcPr>
            <w:tcW w:w="0" w:type="dxa"/>
            <w:vAlign w:val="bottom"/>
          </w:tcPr>
          <w:p>
            <w:pPr>
              <w:spacing w:after="0"/>
              <w:rPr>
                <w:sz w:val="1"/>
                <w:szCs w:val="1"/>
                <w:color w:val="auto"/>
              </w:rPr>
            </w:pPr>
          </w:p>
        </w:tc>
      </w:tr>
      <w:tr>
        <w:trPr>
          <w:trHeight w:val="206"/>
        </w:trPr>
        <w:tc>
          <w:tcPr>
            <w:tcW w:w="45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Southwest Atlanta Vascular Care, LLC</w:t>
            </w:r>
          </w:p>
        </w:tc>
        <w:tc>
          <w:tcPr>
            <w:tcW w:w="2200" w:type="dxa"/>
            <w:vAlign w:val="bottom"/>
          </w:tcPr>
          <w:p>
            <w:pPr>
              <w:ind w:left="900"/>
              <w:spacing w:after="0"/>
              <w:rPr>
                <w:sz w:val="20"/>
                <w:szCs w:val="20"/>
                <w:color w:val="auto"/>
              </w:rPr>
            </w:pPr>
            <w:r>
              <w:rPr>
                <w:rFonts w:ascii="Times New Roman" w:cs="Times New Roman" w:eastAsia="Times New Roman" w:hAnsi="Times New Roman"/>
                <w:sz w:val="15"/>
                <w:szCs w:val="15"/>
                <w:color w:val="auto"/>
              </w:rPr>
              <w:t>Georgia</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Southwest Endoscopy Partners, LLC</w:t>
            </w:r>
          </w:p>
        </w:tc>
        <w:tc>
          <w:tcPr>
            <w:tcW w:w="2200" w:type="dxa"/>
            <w:vAlign w:val="bottom"/>
          </w:tcPr>
          <w:p>
            <w:pPr>
              <w:ind w:left="900"/>
              <w:spacing w:after="0"/>
              <w:rPr>
                <w:sz w:val="20"/>
                <w:szCs w:val="20"/>
                <w:color w:val="auto"/>
              </w:rPr>
            </w:pPr>
            <w:r>
              <w:rPr>
                <w:rFonts w:ascii="Times New Roman" w:cs="Times New Roman" w:eastAsia="Times New Roman" w:hAnsi="Times New Roman"/>
                <w:sz w:val="15"/>
                <w:szCs w:val="15"/>
                <w:color w:val="auto"/>
              </w:rPr>
              <w:t>Colorado</w:t>
            </w:r>
          </w:p>
        </w:tc>
        <w:tc>
          <w:tcPr>
            <w:tcW w:w="452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Southwest Endoscopy Center</w:t>
            </w:r>
          </w:p>
        </w:tc>
        <w:tc>
          <w:tcPr>
            <w:tcW w:w="0" w:type="dxa"/>
            <w:vAlign w:val="bottom"/>
          </w:tcPr>
          <w:p>
            <w:pPr>
              <w:spacing w:after="0"/>
              <w:rPr>
                <w:sz w:val="1"/>
                <w:szCs w:val="1"/>
                <w:color w:val="auto"/>
              </w:rPr>
            </w:pPr>
          </w:p>
        </w:tc>
      </w:tr>
      <w:tr>
        <w:trPr>
          <w:trHeight w:val="206"/>
        </w:trPr>
        <w:tc>
          <w:tcPr>
            <w:tcW w:w="45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SP California Management, LLC</w:t>
            </w:r>
          </w:p>
        </w:tc>
        <w:tc>
          <w:tcPr>
            <w:tcW w:w="2200" w:type="dxa"/>
            <w:vAlign w:val="bottom"/>
          </w:tcPr>
          <w:p>
            <w:pPr>
              <w:ind w:left="900"/>
              <w:spacing w:after="0"/>
              <w:rPr>
                <w:sz w:val="20"/>
                <w:szCs w:val="20"/>
                <w:color w:val="auto"/>
              </w:rPr>
            </w:pPr>
            <w:r>
              <w:rPr>
                <w:rFonts w:ascii="Times New Roman" w:cs="Times New Roman" w:eastAsia="Times New Roman" w:hAnsi="Times New Roman"/>
                <w:sz w:val="15"/>
                <w:szCs w:val="15"/>
                <w:color w:val="auto"/>
              </w:rPr>
              <w:t>Delaware</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SP Forest Knowles Holdco, LLC</w:t>
            </w:r>
          </w:p>
        </w:tc>
        <w:tc>
          <w:tcPr>
            <w:tcW w:w="2200" w:type="dxa"/>
            <w:vAlign w:val="bottom"/>
          </w:tcPr>
          <w:p>
            <w:pPr>
              <w:ind w:left="900"/>
              <w:spacing w:after="0"/>
              <w:rPr>
                <w:sz w:val="20"/>
                <w:szCs w:val="20"/>
                <w:color w:val="auto"/>
              </w:rPr>
            </w:pPr>
            <w:r>
              <w:rPr>
                <w:rFonts w:ascii="Times New Roman" w:cs="Times New Roman" w:eastAsia="Times New Roman" w:hAnsi="Times New Roman"/>
                <w:sz w:val="15"/>
                <w:szCs w:val="15"/>
                <w:color w:val="auto"/>
              </w:rPr>
              <w:t>Delaware</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SP FVC, LLC</w:t>
            </w:r>
          </w:p>
        </w:tc>
        <w:tc>
          <w:tcPr>
            <w:tcW w:w="2200" w:type="dxa"/>
            <w:vAlign w:val="bottom"/>
          </w:tcPr>
          <w:p>
            <w:pPr>
              <w:ind w:left="900"/>
              <w:spacing w:after="0"/>
              <w:rPr>
                <w:sz w:val="20"/>
                <w:szCs w:val="20"/>
                <w:color w:val="auto"/>
              </w:rPr>
            </w:pPr>
            <w:r>
              <w:rPr>
                <w:rFonts w:ascii="Times New Roman" w:cs="Times New Roman" w:eastAsia="Times New Roman" w:hAnsi="Times New Roman"/>
                <w:sz w:val="15"/>
                <w:szCs w:val="15"/>
                <w:color w:val="auto"/>
              </w:rPr>
              <w:t>Illinois</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SP Gainesville Management, LLC</w:t>
            </w:r>
          </w:p>
        </w:tc>
        <w:tc>
          <w:tcPr>
            <w:tcW w:w="2200" w:type="dxa"/>
            <w:vAlign w:val="bottom"/>
          </w:tcPr>
          <w:p>
            <w:pPr>
              <w:ind w:left="900"/>
              <w:spacing w:after="0"/>
              <w:rPr>
                <w:sz w:val="20"/>
                <w:szCs w:val="20"/>
                <w:color w:val="auto"/>
              </w:rPr>
            </w:pPr>
            <w:r>
              <w:rPr>
                <w:rFonts w:ascii="Times New Roman" w:cs="Times New Roman" w:eastAsia="Times New Roman" w:hAnsi="Times New Roman"/>
                <w:sz w:val="15"/>
                <w:szCs w:val="15"/>
                <w:color w:val="auto"/>
              </w:rPr>
              <w:t>Delaware</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SP Gramercy Administrative Services Organization, LLC</w:t>
            </w:r>
          </w:p>
        </w:tc>
        <w:tc>
          <w:tcPr>
            <w:tcW w:w="2200" w:type="dxa"/>
            <w:vAlign w:val="bottom"/>
          </w:tcPr>
          <w:p>
            <w:pPr>
              <w:ind w:left="900"/>
              <w:spacing w:after="0"/>
              <w:rPr>
                <w:sz w:val="20"/>
                <w:szCs w:val="20"/>
                <w:color w:val="auto"/>
              </w:rPr>
            </w:pPr>
            <w:r>
              <w:rPr>
                <w:rFonts w:ascii="Times New Roman" w:cs="Times New Roman" w:eastAsia="Times New Roman" w:hAnsi="Times New Roman"/>
                <w:sz w:val="15"/>
                <w:szCs w:val="15"/>
                <w:color w:val="auto"/>
              </w:rPr>
              <w:t>Delaware</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SP Holdco I, Inc.</w:t>
            </w:r>
          </w:p>
        </w:tc>
        <w:tc>
          <w:tcPr>
            <w:tcW w:w="2200" w:type="dxa"/>
            <w:vAlign w:val="bottom"/>
          </w:tcPr>
          <w:p>
            <w:pPr>
              <w:ind w:left="900"/>
              <w:spacing w:after="0"/>
              <w:rPr>
                <w:sz w:val="20"/>
                <w:szCs w:val="20"/>
                <w:color w:val="auto"/>
              </w:rPr>
            </w:pPr>
            <w:r>
              <w:rPr>
                <w:rFonts w:ascii="Times New Roman" w:cs="Times New Roman" w:eastAsia="Times New Roman" w:hAnsi="Times New Roman"/>
                <w:sz w:val="15"/>
                <w:szCs w:val="15"/>
                <w:color w:val="auto"/>
              </w:rPr>
              <w:t>Delaware</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SP Irvine Holdings, LLC</w:t>
            </w:r>
          </w:p>
        </w:tc>
        <w:tc>
          <w:tcPr>
            <w:tcW w:w="2200" w:type="dxa"/>
            <w:vAlign w:val="bottom"/>
          </w:tcPr>
          <w:p>
            <w:pPr>
              <w:ind w:left="900"/>
              <w:spacing w:after="0"/>
              <w:rPr>
                <w:sz w:val="20"/>
                <w:szCs w:val="20"/>
                <w:color w:val="auto"/>
              </w:rPr>
            </w:pPr>
            <w:r>
              <w:rPr>
                <w:rFonts w:ascii="Times New Roman" w:cs="Times New Roman" w:eastAsia="Times New Roman" w:hAnsi="Times New Roman"/>
                <w:sz w:val="15"/>
                <w:szCs w:val="15"/>
                <w:color w:val="auto"/>
              </w:rPr>
              <w:t>Delaware</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SP Louisiana, LLC</w:t>
            </w:r>
          </w:p>
        </w:tc>
        <w:tc>
          <w:tcPr>
            <w:tcW w:w="2200" w:type="dxa"/>
            <w:vAlign w:val="bottom"/>
          </w:tcPr>
          <w:p>
            <w:pPr>
              <w:ind w:left="900"/>
              <w:spacing w:after="0"/>
              <w:rPr>
                <w:sz w:val="20"/>
                <w:szCs w:val="20"/>
                <w:color w:val="auto"/>
              </w:rPr>
            </w:pPr>
            <w:r>
              <w:rPr>
                <w:rFonts w:ascii="Times New Roman" w:cs="Times New Roman" w:eastAsia="Times New Roman" w:hAnsi="Times New Roman"/>
                <w:sz w:val="15"/>
                <w:szCs w:val="15"/>
                <w:color w:val="auto"/>
              </w:rPr>
              <w:t>Louisiana</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SP Management Services, Inc.</w:t>
            </w:r>
          </w:p>
        </w:tc>
        <w:tc>
          <w:tcPr>
            <w:tcW w:w="2200" w:type="dxa"/>
            <w:vAlign w:val="bottom"/>
          </w:tcPr>
          <w:p>
            <w:pPr>
              <w:ind w:left="900"/>
              <w:spacing w:after="0"/>
              <w:rPr>
                <w:sz w:val="20"/>
                <w:szCs w:val="20"/>
                <w:color w:val="auto"/>
              </w:rPr>
            </w:pPr>
            <w:r>
              <w:rPr>
                <w:rFonts w:ascii="Times New Roman" w:cs="Times New Roman" w:eastAsia="Times New Roman" w:hAnsi="Times New Roman"/>
                <w:sz w:val="15"/>
                <w:szCs w:val="15"/>
                <w:color w:val="auto"/>
              </w:rPr>
              <w:t>Tennessee</w:t>
            </w:r>
          </w:p>
        </w:tc>
        <w:tc>
          <w:tcPr>
            <w:tcW w:w="452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SymbionARC Management Services</w:t>
            </w:r>
          </w:p>
        </w:tc>
        <w:tc>
          <w:tcPr>
            <w:tcW w:w="0" w:type="dxa"/>
            <w:vAlign w:val="bottom"/>
          </w:tcPr>
          <w:p>
            <w:pPr>
              <w:spacing w:after="0"/>
              <w:rPr>
                <w:sz w:val="1"/>
                <w:szCs w:val="1"/>
                <w:color w:val="auto"/>
              </w:rPr>
            </w:pPr>
          </w:p>
        </w:tc>
      </w:tr>
    </w:tbl>
    <w:p>
      <w:pPr>
        <w:sectPr>
          <w:pgSz w:w="11900" w:h="16838" w:orient="portrait"/>
          <w:cols w:equalWidth="0" w:num="1">
            <w:col w:w="11220"/>
          </w:cols>
          <w:pgMar w:left="340" w:top="972" w:right="339" w:bottom="1440" w:gutter="0" w:footer="0" w:header="0"/>
        </w:sectPr>
      </w:pPr>
    </w:p>
    <w:bookmarkStart w:id="96" w:name="page97"/>
    <w:bookmarkEnd w:id="9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560" w:type="dxa"/>
            <w:vAlign w:val="bottom"/>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rPr>
              <w:t>Entity Name</w:t>
            </w:r>
          </w:p>
        </w:tc>
        <w:tc>
          <w:tcPr>
            <w:tcW w:w="2140" w:type="dxa"/>
            <w:vAlign w:val="bottom"/>
          </w:tcPr>
          <w:p>
            <w:pPr>
              <w:ind w:left="840"/>
              <w:spacing w:after="0"/>
              <w:rPr>
                <w:sz w:val="20"/>
                <w:szCs w:val="20"/>
                <w:color w:val="auto"/>
              </w:rPr>
            </w:pPr>
            <w:r>
              <w:rPr>
                <w:rFonts w:ascii="Times New Roman" w:cs="Times New Roman" w:eastAsia="Times New Roman" w:hAnsi="Times New Roman"/>
                <w:sz w:val="15"/>
                <w:szCs w:val="15"/>
                <w:b w:val="1"/>
                <w:bCs w:val="1"/>
                <w:color w:val="auto"/>
              </w:rPr>
              <w:t>Jurisdiction of</w:t>
            </w:r>
          </w:p>
        </w:tc>
        <w:tc>
          <w:tcPr>
            <w:tcW w:w="4520" w:type="dxa"/>
            <w:vAlign w:val="bottom"/>
            <w:vMerge w:val="restart"/>
          </w:tcPr>
          <w:p>
            <w:pPr>
              <w:ind w:left="320"/>
              <w:spacing w:after="0"/>
              <w:rPr>
                <w:sz w:val="20"/>
                <w:szCs w:val="20"/>
                <w:color w:val="auto"/>
              </w:rPr>
            </w:pPr>
            <w:r>
              <w:rPr>
                <w:rFonts w:ascii="Times New Roman" w:cs="Times New Roman" w:eastAsia="Times New Roman" w:hAnsi="Times New Roman"/>
                <w:sz w:val="15"/>
                <w:szCs w:val="15"/>
                <w:b w:val="1"/>
                <w:bCs w:val="1"/>
                <w:color w:val="auto"/>
              </w:rPr>
              <w:t>Doing Business As</w:t>
            </w:r>
          </w:p>
        </w:tc>
        <w:tc>
          <w:tcPr>
            <w:tcW w:w="0" w:type="dxa"/>
            <w:vAlign w:val="bottom"/>
          </w:tcPr>
          <w:p>
            <w:pPr>
              <w:spacing w:after="0"/>
              <w:rPr>
                <w:sz w:val="1"/>
                <w:szCs w:val="1"/>
                <w:color w:val="auto"/>
              </w:rPr>
            </w:pPr>
          </w:p>
        </w:tc>
      </w:tr>
      <w:tr>
        <w:trPr>
          <w:trHeight w:val="205"/>
        </w:trPr>
        <w:tc>
          <w:tcPr>
            <w:tcW w:w="4560" w:type="dxa"/>
            <w:vAlign w:val="bottom"/>
            <w:tcBorders>
              <w:bottom w:val="single" w:sz="8" w:color="auto"/>
            </w:tcBorders>
            <w:vMerge w:val="continue"/>
          </w:tcPr>
          <w:p>
            <w:pPr>
              <w:spacing w:after="0"/>
              <w:rPr>
                <w:sz w:val="17"/>
                <w:szCs w:val="17"/>
                <w:color w:val="auto"/>
              </w:rPr>
            </w:pPr>
          </w:p>
        </w:tc>
        <w:tc>
          <w:tcPr>
            <w:tcW w:w="214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5"/>
                <w:szCs w:val="15"/>
                <w:b w:val="1"/>
                <w:bCs w:val="1"/>
                <w:color w:val="auto"/>
              </w:rPr>
              <w:t>Organization</w:t>
            </w:r>
          </w:p>
        </w:tc>
        <w:tc>
          <w:tcPr>
            <w:tcW w:w="45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56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452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Surgery Partners Management Services, Inc.</w:t>
            </w:r>
          </w:p>
        </w:tc>
        <w:tc>
          <w:tcPr>
            <w:tcW w:w="0" w:type="dxa"/>
            <w:vAlign w:val="bottom"/>
          </w:tcPr>
          <w:p>
            <w:pPr>
              <w:spacing w:after="0"/>
              <w:rPr>
                <w:sz w:val="1"/>
                <w:szCs w:val="1"/>
                <w:color w:val="auto"/>
              </w:rPr>
            </w:pPr>
          </w:p>
        </w:tc>
      </w:tr>
      <w:tr>
        <w:trPr>
          <w:trHeight w:val="206"/>
        </w:trPr>
        <w:tc>
          <w:tcPr>
            <w:tcW w:w="456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452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SGRY SP Management Services, Inc.</w:t>
            </w:r>
          </w:p>
        </w:tc>
        <w:tc>
          <w:tcPr>
            <w:tcW w:w="0" w:type="dxa"/>
            <w:vAlign w:val="bottom"/>
          </w:tcPr>
          <w:p>
            <w:pPr>
              <w:spacing w:after="0"/>
              <w:rPr>
                <w:sz w:val="1"/>
                <w:szCs w:val="1"/>
                <w:color w:val="auto"/>
              </w:rPr>
            </w:pPr>
          </w:p>
        </w:tc>
      </w:tr>
      <w:tr>
        <w:trPr>
          <w:trHeight w:val="206"/>
        </w:trPr>
        <w:tc>
          <w:tcPr>
            <w:tcW w:w="456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452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SGRY Surgery Partners Management Services, Inc.</w:t>
            </w:r>
          </w:p>
        </w:tc>
        <w:tc>
          <w:tcPr>
            <w:tcW w:w="0" w:type="dxa"/>
            <w:vAlign w:val="bottom"/>
          </w:tcPr>
          <w:p>
            <w:pPr>
              <w:spacing w:after="0"/>
              <w:rPr>
                <w:sz w:val="1"/>
                <w:szCs w:val="1"/>
                <w:color w:val="auto"/>
              </w:rPr>
            </w:pPr>
          </w:p>
        </w:tc>
      </w:tr>
      <w:tr>
        <w:trPr>
          <w:trHeight w:val="206"/>
        </w:trPr>
        <w:tc>
          <w:tcPr>
            <w:tcW w:w="45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SP Maury County, LLC</w:t>
            </w:r>
          </w:p>
        </w:tc>
        <w:tc>
          <w:tcPr>
            <w:tcW w:w="2140" w:type="dxa"/>
            <w:vAlign w:val="bottom"/>
          </w:tcPr>
          <w:p>
            <w:pPr>
              <w:ind w:left="840"/>
              <w:spacing w:after="0"/>
              <w:rPr>
                <w:sz w:val="20"/>
                <w:szCs w:val="20"/>
                <w:color w:val="auto"/>
              </w:rPr>
            </w:pPr>
            <w:r>
              <w:rPr>
                <w:rFonts w:ascii="Times New Roman" w:cs="Times New Roman" w:eastAsia="Times New Roman" w:hAnsi="Times New Roman"/>
                <w:sz w:val="15"/>
                <w:szCs w:val="15"/>
                <w:color w:val="auto"/>
              </w:rPr>
              <w:t>Delaware</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SP Mountain Management Services, LLC</w:t>
            </w:r>
          </w:p>
        </w:tc>
        <w:tc>
          <w:tcPr>
            <w:tcW w:w="2140" w:type="dxa"/>
            <w:vAlign w:val="bottom"/>
          </w:tcPr>
          <w:p>
            <w:pPr>
              <w:ind w:left="840"/>
              <w:spacing w:after="0"/>
              <w:rPr>
                <w:sz w:val="20"/>
                <w:szCs w:val="20"/>
                <w:color w:val="auto"/>
              </w:rPr>
            </w:pPr>
            <w:r>
              <w:rPr>
                <w:rFonts w:ascii="Times New Roman" w:cs="Times New Roman" w:eastAsia="Times New Roman" w:hAnsi="Times New Roman"/>
                <w:sz w:val="15"/>
                <w:szCs w:val="15"/>
                <w:color w:val="auto"/>
              </w:rPr>
              <w:t>Delaware</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SP New York Management, LLC</w:t>
            </w:r>
          </w:p>
        </w:tc>
        <w:tc>
          <w:tcPr>
            <w:tcW w:w="2140" w:type="dxa"/>
            <w:vAlign w:val="bottom"/>
          </w:tcPr>
          <w:p>
            <w:pPr>
              <w:ind w:left="840"/>
              <w:spacing w:after="0"/>
              <w:rPr>
                <w:sz w:val="20"/>
                <w:szCs w:val="20"/>
                <w:color w:val="auto"/>
              </w:rPr>
            </w:pPr>
            <w:r>
              <w:rPr>
                <w:rFonts w:ascii="Times New Roman" w:cs="Times New Roman" w:eastAsia="Times New Roman" w:hAnsi="Times New Roman"/>
                <w:sz w:val="15"/>
                <w:szCs w:val="15"/>
                <w:color w:val="auto"/>
              </w:rPr>
              <w:t>Delaware</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SP New York Support, LLC</w:t>
            </w:r>
          </w:p>
        </w:tc>
        <w:tc>
          <w:tcPr>
            <w:tcW w:w="2140" w:type="dxa"/>
            <w:vAlign w:val="bottom"/>
          </w:tcPr>
          <w:p>
            <w:pPr>
              <w:ind w:left="840"/>
              <w:spacing w:after="0"/>
              <w:rPr>
                <w:sz w:val="20"/>
                <w:szCs w:val="20"/>
                <w:color w:val="auto"/>
              </w:rPr>
            </w:pPr>
            <w:r>
              <w:rPr>
                <w:rFonts w:ascii="Times New Roman" w:cs="Times New Roman" w:eastAsia="Times New Roman" w:hAnsi="Times New Roman"/>
                <w:sz w:val="15"/>
                <w:szCs w:val="15"/>
                <w:color w:val="auto"/>
              </w:rPr>
              <w:t>Delaware</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SP North Dakota, LLC</w:t>
            </w:r>
          </w:p>
        </w:tc>
        <w:tc>
          <w:tcPr>
            <w:tcW w:w="2140" w:type="dxa"/>
            <w:vAlign w:val="bottom"/>
          </w:tcPr>
          <w:p>
            <w:pPr>
              <w:ind w:left="840"/>
              <w:spacing w:after="0"/>
              <w:rPr>
                <w:sz w:val="20"/>
                <w:szCs w:val="20"/>
                <w:color w:val="auto"/>
              </w:rPr>
            </w:pPr>
            <w:r>
              <w:rPr>
                <w:rFonts w:ascii="Times New Roman" w:cs="Times New Roman" w:eastAsia="Times New Roman" w:hAnsi="Times New Roman"/>
                <w:sz w:val="15"/>
                <w:szCs w:val="15"/>
                <w:color w:val="auto"/>
              </w:rPr>
              <w:t>Delaware</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SP North Shore Administrative Services Organization, LLC</w:t>
            </w:r>
          </w:p>
        </w:tc>
        <w:tc>
          <w:tcPr>
            <w:tcW w:w="2140" w:type="dxa"/>
            <w:vAlign w:val="bottom"/>
          </w:tcPr>
          <w:p>
            <w:pPr>
              <w:ind w:left="840"/>
              <w:spacing w:after="0"/>
              <w:rPr>
                <w:sz w:val="20"/>
                <w:szCs w:val="20"/>
                <w:color w:val="auto"/>
              </w:rPr>
            </w:pPr>
            <w:r>
              <w:rPr>
                <w:rFonts w:ascii="Times New Roman" w:cs="Times New Roman" w:eastAsia="Times New Roman" w:hAnsi="Times New Roman"/>
                <w:sz w:val="15"/>
                <w:szCs w:val="15"/>
                <w:color w:val="auto"/>
              </w:rPr>
              <w:t>Delaware</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SP Physician Management, LLC</w:t>
            </w:r>
          </w:p>
        </w:tc>
        <w:tc>
          <w:tcPr>
            <w:tcW w:w="2140" w:type="dxa"/>
            <w:vAlign w:val="bottom"/>
          </w:tcPr>
          <w:p>
            <w:pPr>
              <w:ind w:left="840"/>
              <w:spacing w:after="0"/>
              <w:rPr>
                <w:sz w:val="20"/>
                <w:szCs w:val="20"/>
                <w:color w:val="auto"/>
              </w:rPr>
            </w:pPr>
            <w:r>
              <w:rPr>
                <w:rFonts w:ascii="Times New Roman" w:cs="Times New Roman" w:eastAsia="Times New Roman" w:hAnsi="Times New Roman"/>
                <w:sz w:val="15"/>
                <w:szCs w:val="15"/>
                <w:color w:val="auto"/>
              </w:rPr>
              <w:t>Delaware</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SP Practice Management, LLC</w:t>
            </w:r>
          </w:p>
        </w:tc>
        <w:tc>
          <w:tcPr>
            <w:tcW w:w="2140" w:type="dxa"/>
            <w:vAlign w:val="bottom"/>
          </w:tcPr>
          <w:p>
            <w:pPr>
              <w:ind w:left="840"/>
              <w:spacing w:after="0"/>
              <w:rPr>
                <w:sz w:val="20"/>
                <w:szCs w:val="20"/>
                <w:color w:val="auto"/>
              </w:rPr>
            </w:pPr>
            <w:r>
              <w:rPr>
                <w:rFonts w:ascii="Times New Roman" w:cs="Times New Roman" w:eastAsia="Times New Roman" w:hAnsi="Times New Roman"/>
                <w:sz w:val="15"/>
                <w:szCs w:val="15"/>
                <w:color w:val="auto"/>
              </w:rPr>
              <w:t>Delaware</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SP SCH UnSub 2022 Parent, LLC</w:t>
            </w:r>
          </w:p>
        </w:tc>
        <w:tc>
          <w:tcPr>
            <w:tcW w:w="2140" w:type="dxa"/>
            <w:vAlign w:val="bottom"/>
          </w:tcPr>
          <w:p>
            <w:pPr>
              <w:ind w:left="840"/>
              <w:spacing w:after="0"/>
              <w:rPr>
                <w:sz w:val="20"/>
                <w:szCs w:val="20"/>
                <w:color w:val="auto"/>
              </w:rPr>
            </w:pPr>
            <w:r>
              <w:rPr>
                <w:rFonts w:ascii="Times New Roman" w:cs="Times New Roman" w:eastAsia="Times New Roman" w:hAnsi="Times New Roman"/>
                <w:sz w:val="15"/>
                <w:szCs w:val="15"/>
                <w:color w:val="auto"/>
              </w:rPr>
              <w:t>Delaware</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SP SCH UnSub 2022-1, LLC</w:t>
            </w:r>
          </w:p>
        </w:tc>
        <w:tc>
          <w:tcPr>
            <w:tcW w:w="2140" w:type="dxa"/>
            <w:vAlign w:val="bottom"/>
          </w:tcPr>
          <w:p>
            <w:pPr>
              <w:ind w:left="840"/>
              <w:spacing w:after="0"/>
              <w:rPr>
                <w:sz w:val="20"/>
                <w:szCs w:val="20"/>
                <w:color w:val="auto"/>
              </w:rPr>
            </w:pPr>
            <w:r>
              <w:rPr>
                <w:rFonts w:ascii="Times New Roman" w:cs="Times New Roman" w:eastAsia="Times New Roman" w:hAnsi="Times New Roman"/>
                <w:sz w:val="15"/>
                <w:szCs w:val="15"/>
                <w:color w:val="auto"/>
              </w:rPr>
              <w:t>Delaware</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SP SCH UnSub 2022-2, LLC</w:t>
            </w:r>
          </w:p>
        </w:tc>
        <w:tc>
          <w:tcPr>
            <w:tcW w:w="2140" w:type="dxa"/>
            <w:vAlign w:val="bottom"/>
          </w:tcPr>
          <w:p>
            <w:pPr>
              <w:ind w:left="840"/>
              <w:spacing w:after="0"/>
              <w:rPr>
                <w:sz w:val="20"/>
                <w:szCs w:val="20"/>
                <w:color w:val="auto"/>
              </w:rPr>
            </w:pPr>
            <w:r>
              <w:rPr>
                <w:rFonts w:ascii="Times New Roman" w:cs="Times New Roman" w:eastAsia="Times New Roman" w:hAnsi="Times New Roman"/>
                <w:sz w:val="15"/>
                <w:szCs w:val="15"/>
                <w:color w:val="auto"/>
              </w:rPr>
              <w:t>Delaware</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SP SCH UnSub 2022-3, LLC</w:t>
            </w:r>
          </w:p>
        </w:tc>
        <w:tc>
          <w:tcPr>
            <w:tcW w:w="2140" w:type="dxa"/>
            <w:vAlign w:val="bottom"/>
          </w:tcPr>
          <w:p>
            <w:pPr>
              <w:ind w:left="840"/>
              <w:spacing w:after="0"/>
              <w:rPr>
                <w:sz w:val="20"/>
                <w:szCs w:val="20"/>
                <w:color w:val="auto"/>
              </w:rPr>
            </w:pPr>
            <w:r>
              <w:rPr>
                <w:rFonts w:ascii="Times New Roman" w:cs="Times New Roman" w:eastAsia="Times New Roman" w:hAnsi="Times New Roman"/>
                <w:sz w:val="15"/>
                <w:szCs w:val="15"/>
                <w:color w:val="auto"/>
              </w:rPr>
              <w:t>Delaware</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Space Coast Surgery Center LLC</w:t>
            </w:r>
          </w:p>
        </w:tc>
        <w:tc>
          <w:tcPr>
            <w:tcW w:w="2140" w:type="dxa"/>
            <w:vAlign w:val="bottom"/>
          </w:tcPr>
          <w:p>
            <w:pPr>
              <w:ind w:left="840"/>
              <w:spacing w:after="0"/>
              <w:rPr>
                <w:sz w:val="20"/>
                <w:szCs w:val="20"/>
                <w:color w:val="auto"/>
              </w:rPr>
            </w:pPr>
            <w:r>
              <w:rPr>
                <w:rFonts w:ascii="Times New Roman" w:cs="Times New Roman" w:eastAsia="Times New Roman" w:hAnsi="Times New Roman"/>
                <w:sz w:val="15"/>
                <w:szCs w:val="15"/>
                <w:color w:val="auto"/>
              </w:rPr>
              <w:t>Florida</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Specialty Surgical Center of Beverly Hills, L.P.</w:t>
            </w:r>
          </w:p>
        </w:tc>
        <w:tc>
          <w:tcPr>
            <w:tcW w:w="2140" w:type="dxa"/>
            <w:vAlign w:val="bottom"/>
          </w:tcPr>
          <w:p>
            <w:pPr>
              <w:ind w:left="840"/>
              <w:spacing w:after="0"/>
              <w:rPr>
                <w:sz w:val="20"/>
                <w:szCs w:val="20"/>
                <w:color w:val="auto"/>
              </w:rPr>
            </w:pPr>
            <w:r>
              <w:rPr>
                <w:rFonts w:ascii="Times New Roman" w:cs="Times New Roman" w:eastAsia="Times New Roman" w:hAnsi="Times New Roman"/>
                <w:sz w:val="15"/>
                <w:szCs w:val="15"/>
                <w:color w:val="auto"/>
              </w:rPr>
              <w:t>California</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Specialty Surgical Center of Encino, L.P.</w:t>
            </w:r>
          </w:p>
        </w:tc>
        <w:tc>
          <w:tcPr>
            <w:tcW w:w="2140" w:type="dxa"/>
            <w:vAlign w:val="bottom"/>
          </w:tcPr>
          <w:p>
            <w:pPr>
              <w:ind w:left="840"/>
              <w:spacing w:after="0"/>
              <w:rPr>
                <w:sz w:val="20"/>
                <w:szCs w:val="20"/>
                <w:color w:val="auto"/>
              </w:rPr>
            </w:pPr>
            <w:r>
              <w:rPr>
                <w:rFonts w:ascii="Times New Roman" w:cs="Times New Roman" w:eastAsia="Times New Roman" w:hAnsi="Times New Roman"/>
                <w:sz w:val="15"/>
                <w:szCs w:val="15"/>
                <w:color w:val="auto"/>
              </w:rPr>
              <w:t>California</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Specialty Surgical Center of Encino, LLC</w:t>
            </w:r>
          </w:p>
        </w:tc>
        <w:tc>
          <w:tcPr>
            <w:tcW w:w="2140" w:type="dxa"/>
            <w:vAlign w:val="bottom"/>
          </w:tcPr>
          <w:p>
            <w:pPr>
              <w:ind w:left="840"/>
              <w:spacing w:after="0"/>
              <w:rPr>
                <w:sz w:val="20"/>
                <w:szCs w:val="20"/>
                <w:color w:val="auto"/>
              </w:rPr>
            </w:pPr>
            <w:r>
              <w:rPr>
                <w:rFonts w:ascii="Times New Roman" w:cs="Times New Roman" w:eastAsia="Times New Roman" w:hAnsi="Times New Roman"/>
                <w:sz w:val="15"/>
                <w:szCs w:val="15"/>
                <w:color w:val="auto"/>
              </w:rPr>
              <w:t>California</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Specialty Surgical Center of Irvine, L.P.</w:t>
            </w:r>
          </w:p>
        </w:tc>
        <w:tc>
          <w:tcPr>
            <w:tcW w:w="2140" w:type="dxa"/>
            <w:vAlign w:val="bottom"/>
          </w:tcPr>
          <w:p>
            <w:pPr>
              <w:ind w:left="840"/>
              <w:spacing w:after="0"/>
              <w:rPr>
                <w:sz w:val="20"/>
                <w:szCs w:val="20"/>
                <w:color w:val="auto"/>
              </w:rPr>
            </w:pPr>
            <w:r>
              <w:rPr>
                <w:rFonts w:ascii="Times New Roman" w:cs="Times New Roman" w:eastAsia="Times New Roman" w:hAnsi="Times New Roman"/>
                <w:sz w:val="15"/>
                <w:szCs w:val="15"/>
                <w:color w:val="auto"/>
              </w:rPr>
              <w:t>California</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Specialty Surgical Center of Irvine, LLC</w:t>
            </w:r>
          </w:p>
        </w:tc>
        <w:tc>
          <w:tcPr>
            <w:tcW w:w="2140" w:type="dxa"/>
            <w:vAlign w:val="bottom"/>
          </w:tcPr>
          <w:p>
            <w:pPr>
              <w:ind w:left="840"/>
              <w:spacing w:after="0"/>
              <w:rPr>
                <w:sz w:val="20"/>
                <w:szCs w:val="20"/>
                <w:color w:val="auto"/>
              </w:rPr>
            </w:pPr>
            <w:r>
              <w:rPr>
                <w:rFonts w:ascii="Times New Roman" w:cs="Times New Roman" w:eastAsia="Times New Roman" w:hAnsi="Times New Roman"/>
                <w:sz w:val="15"/>
                <w:szCs w:val="15"/>
                <w:color w:val="auto"/>
              </w:rPr>
              <w:t>California</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Specialty Surgical Center, LLC</w:t>
            </w:r>
          </w:p>
        </w:tc>
        <w:tc>
          <w:tcPr>
            <w:tcW w:w="2140" w:type="dxa"/>
            <w:vAlign w:val="bottom"/>
          </w:tcPr>
          <w:p>
            <w:pPr>
              <w:ind w:left="840"/>
              <w:spacing w:after="0"/>
              <w:rPr>
                <w:sz w:val="20"/>
                <w:szCs w:val="20"/>
                <w:color w:val="auto"/>
              </w:rPr>
            </w:pPr>
            <w:r>
              <w:rPr>
                <w:rFonts w:ascii="Times New Roman" w:cs="Times New Roman" w:eastAsia="Times New Roman" w:hAnsi="Times New Roman"/>
                <w:sz w:val="15"/>
                <w:szCs w:val="15"/>
                <w:color w:val="auto"/>
              </w:rPr>
              <w:t>California</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St. Louis Women’s Surgery Center, LLC</w:t>
            </w:r>
          </w:p>
        </w:tc>
        <w:tc>
          <w:tcPr>
            <w:tcW w:w="2140" w:type="dxa"/>
            <w:vAlign w:val="bottom"/>
          </w:tcPr>
          <w:p>
            <w:pPr>
              <w:ind w:left="840"/>
              <w:spacing w:after="0"/>
              <w:rPr>
                <w:sz w:val="20"/>
                <w:szCs w:val="20"/>
                <w:color w:val="auto"/>
              </w:rPr>
            </w:pPr>
            <w:r>
              <w:rPr>
                <w:rFonts w:ascii="Times New Roman" w:cs="Times New Roman" w:eastAsia="Times New Roman" w:hAnsi="Times New Roman"/>
                <w:sz w:val="15"/>
                <w:szCs w:val="15"/>
                <w:color w:val="auto"/>
              </w:rPr>
              <w:t>Delaware</w:t>
            </w:r>
          </w:p>
        </w:tc>
        <w:tc>
          <w:tcPr>
            <w:tcW w:w="452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St. Louis Multispecialty Surgery Center</w:t>
            </w:r>
          </w:p>
        </w:tc>
        <w:tc>
          <w:tcPr>
            <w:tcW w:w="0" w:type="dxa"/>
            <w:vAlign w:val="bottom"/>
          </w:tcPr>
          <w:p>
            <w:pPr>
              <w:spacing w:after="0"/>
              <w:rPr>
                <w:sz w:val="1"/>
                <w:szCs w:val="1"/>
                <w:color w:val="auto"/>
              </w:rPr>
            </w:pPr>
          </w:p>
        </w:tc>
      </w:tr>
      <w:tr>
        <w:trPr>
          <w:trHeight w:val="206"/>
        </w:trPr>
        <w:tc>
          <w:tcPr>
            <w:tcW w:w="45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St. Raphael's Surgery Center, LLC</w:t>
            </w:r>
          </w:p>
        </w:tc>
        <w:tc>
          <w:tcPr>
            <w:tcW w:w="2140" w:type="dxa"/>
            <w:vAlign w:val="bottom"/>
          </w:tcPr>
          <w:p>
            <w:pPr>
              <w:ind w:left="840"/>
              <w:spacing w:after="0"/>
              <w:rPr>
                <w:sz w:val="20"/>
                <w:szCs w:val="20"/>
                <w:color w:val="auto"/>
              </w:rPr>
            </w:pPr>
            <w:r>
              <w:rPr>
                <w:rFonts w:ascii="Times New Roman" w:cs="Times New Roman" w:eastAsia="Times New Roman" w:hAnsi="Times New Roman"/>
                <w:sz w:val="15"/>
                <w:szCs w:val="15"/>
                <w:color w:val="auto"/>
              </w:rPr>
              <w:t>Texas</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STSSH Physicians Organization</w:t>
            </w:r>
          </w:p>
        </w:tc>
        <w:tc>
          <w:tcPr>
            <w:tcW w:w="2140" w:type="dxa"/>
            <w:vAlign w:val="bottom"/>
          </w:tcPr>
          <w:p>
            <w:pPr>
              <w:ind w:left="840"/>
              <w:spacing w:after="0"/>
              <w:rPr>
                <w:sz w:val="20"/>
                <w:szCs w:val="20"/>
                <w:color w:val="auto"/>
              </w:rPr>
            </w:pPr>
            <w:r>
              <w:rPr>
                <w:rFonts w:ascii="Times New Roman" w:cs="Times New Roman" w:eastAsia="Times New Roman" w:hAnsi="Times New Roman"/>
                <w:sz w:val="15"/>
                <w:szCs w:val="15"/>
                <w:color w:val="auto"/>
              </w:rPr>
              <w:t>Texas</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Surgery Center Holdings, Inc.</w:t>
            </w:r>
          </w:p>
        </w:tc>
        <w:tc>
          <w:tcPr>
            <w:tcW w:w="2140" w:type="dxa"/>
            <w:vAlign w:val="bottom"/>
          </w:tcPr>
          <w:p>
            <w:pPr>
              <w:ind w:left="840"/>
              <w:spacing w:after="0"/>
              <w:rPr>
                <w:sz w:val="20"/>
                <w:szCs w:val="20"/>
                <w:color w:val="auto"/>
              </w:rPr>
            </w:pPr>
            <w:r>
              <w:rPr>
                <w:rFonts w:ascii="Times New Roman" w:cs="Times New Roman" w:eastAsia="Times New Roman" w:hAnsi="Times New Roman"/>
                <w:sz w:val="15"/>
                <w:szCs w:val="15"/>
                <w:color w:val="auto"/>
              </w:rPr>
              <w:t>Delaware</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Surgery Center Holdings, LLC</w:t>
            </w:r>
          </w:p>
        </w:tc>
        <w:tc>
          <w:tcPr>
            <w:tcW w:w="2140" w:type="dxa"/>
            <w:vAlign w:val="bottom"/>
          </w:tcPr>
          <w:p>
            <w:pPr>
              <w:ind w:left="840"/>
              <w:spacing w:after="0"/>
              <w:rPr>
                <w:sz w:val="20"/>
                <w:szCs w:val="20"/>
                <w:color w:val="auto"/>
              </w:rPr>
            </w:pPr>
            <w:r>
              <w:rPr>
                <w:rFonts w:ascii="Times New Roman" w:cs="Times New Roman" w:eastAsia="Times New Roman" w:hAnsi="Times New Roman"/>
                <w:sz w:val="15"/>
                <w:szCs w:val="15"/>
                <w:color w:val="auto"/>
              </w:rPr>
              <w:t>Delaware</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Surgery Center of Fremont, LLC</w:t>
            </w:r>
          </w:p>
        </w:tc>
        <w:tc>
          <w:tcPr>
            <w:tcW w:w="2140" w:type="dxa"/>
            <w:vAlign w:val="bottom"/>
          </w:tcPr>
          <w:p>
            <w:pPr>
              <w:ind w:left="840"/>
              <w:spacing w:after="0"/>
              <w:rPr>
                <w:sz w:val="20"/>
                <w:szCs w:val="20"/>
                <w:color w:val="auto"/>
              </w:rPr>
            </w:pPr>
            <w:r>
              <w:rPr>
                <w:rFonts w:ascii="Times New Roman" w:cs="Times New Roman" w:eastAsia="Times New Roman" w:hAnsi="Times New Roman"/>
                <w:sz w:val="15"/>
                <w:szCs w:val="15"/>
                <w:color w:val="auto"/>
              </w:rPr>
              <w:t>Delaware</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Surgery Center of Kalamazoo, LLC</w:t>
            </w:r>
          </w:p>
        </w:tc>
        <w:tc>
          <w:tcPr>
            <w:tcW w:w="2140" w:type="dxa"/>
            <w:vAlign w:val="bottom"/>
          </w:tcPr>
          <w:p>
            <w:pPr>
              <w:ind w:left="840"/>
              <w:spacing w:after="0"/>
              <w:rPr>
                <w:sz w:val="20"/>
                <w:szCs w:val="20"/>
                <w:color w:val="auto"/>
              </w:rPr>
            </w:pPr>
            <w:r>
              <w:rPr>
                <w:rFonts w:ascii="Times New Roman" w:cs="Times New Roman" w:eastAsia="Times New Roman" w:hAnsi="Times New Roman"/>
                <w:sz w:val="15"/>
                <w:szCs w:val="15"/>
                <w:color w:val="auto"/>
              </w:rPr>
              <w:t>Michigan</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Surgery Center of Lebanon, LP</w:t>
            </w:r>
          </w:p>
        </w:tc>
        <w:tc>
          <w:tcPr>
            <w:tcW w:w="2140" w:type="dxa"/>
            <w:vAlign w:val="bottom"/>
          </w:tcPr>
          <w:p>
            <w:pPr>
              <w:ind w:left="840"/>
              <w:spacing w:after="0"/>
              <w:rPr>
                <w:sz w:val="20"/>
                <w:szCs w:val="20"/>
                <w:color w:val="auto"/>
              </w:rPr>
            </w:pPr>
            <w:r>
              <w:rPr>
                <w:rFonts w:ascii="Times New Roman" w:cs="Times New Roman" w:eastAsia="Times New Roman" w:hAnsi="Times New Roman"/>
                <w:sz w:val="15"/>
                <w:szCs w:val="15"/>
                <w:color w:val="auto"/>
              </w:rPr>
              <w:t>Pennsylvania</w:t>
            </w:r>
          </w:p>
        </w:tc>
        <w:tc>
          <w:tcPr>
            <w:tcW w:w="452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Physicians Surgical Center</w:t>
            </w:r>
          </w:p>
        </w:tc>
        <w:tc>
          <w:tcPr>
            <w:tcW w:w="0" w:type="dxa"/>
            <w:vAlign w:val="bottom"/>
          </w:tcPr>
          <w:p>
            <w:pPr>
              <w:spacing w:after="0"/>
              <w:rPr>
                <w:sz w:val="1"/>
                <w:szCs w:val="1"/>
                <w:color w:val="auto"/>
              </w:rPr>
            </w:pPr>
          </w:p>
        </w:tc>
      </w:tr>
      <w:tr>
        <w:trPr>
          <w:trHeight w:val="206"/>
        </w:trPr>
        <w:tc>
          <w:tcPr>
            <w:tcW w:w="45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Surgery Partners Acquisition Company, LLC</w:t>
            </w:r>
          </w:p>
        </w:tc>
        <w:tc>
          <w:tcPr>
            <w:tcW w:w="2140" w:type="dxa"/>
            <w:vAlign w:val="bottom"/>
          </w:tcPr>
          <w:p>
            <w:pPr>
              <w:ind w:left="840"/>
              <w:spacing w:after="0"/>
              <w:rPr>
                <w:sz w:val="20"/>
                <w:szCs w:val="20"/>
                <w:color w:val="auto"/>
              </w:rPr>
            </w:pPr>
            <w:r>
              <w:rPr>
                <w:rFonts w:ascii="Times New Roman" w:cs="Times New Roman" w:eastAsia="Times New Roman" w:hAnsi="Times New Roman"/>
                <w:sz w:val="15"/>
                <w:szCs w:val="15"/>
                <w:color w:val="auto"/>
              </w:rPr>
              <w:t>Florida</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Surgery Partners of Coral Gables, LLC</w:t>
            </w:r>
          </w:p>
        </w:tc>
        <w:tc>
          <w:tcPr>
            <w:tcW w:w="2140" w:type="dxa"/>
            <w:vAlign w:val="bottom"/>
          </w:tcPr>
          <w:p>
            <w:pPr>
              <w:ind w:left="840"/>
              <w:spacing w:after="0"/>
              <w:rPr>
                <w:sz w:val="20"/>
                <w:szCs w:val="20"/>
                <w:color w:val="auto"/>
              </w:rPr>
            </w:pPr>
            <w:r>
              <w:rPr>
                <w:rFonts w:ascii="Times New Roman" w:cs="Times New Roman" w:eastAsia="Times New Roman" w:hAnsi="Times New Roman"/>
                <w:sz w:val="15"/>
                <w:szCs w:val="15"/>
                <w:color w:val="auto"/>
              </w:rPr>
              <w:t>Florida</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Surgery Partners of Lake Mary, LLC</w:t>
            </w:r>
          </w:p>
        </w:tc>
        <w:tc>
          <w:tcPr>
            <w:tcW w:w="2140" w:type="dxa"/>
            <w:vAlign w:val="bottom"/>
          </w:tcPr>
          <w:p>
            <w:pPr>
              <w:ind w:left="840"/>
              <w:spacing w:after="0"/>
              <w:rPr>
                <w:sz w:val="20"/>
                <w:szCs w:val="20"/>
                <w:color w:val="auto"/>
              </w:rPr>
            </w:pPr>
            <w:r>
              <w:rPr>
                <w:rFonts w:ascii="Times New Roman" w:cs="Times New Roman" w:eastAsia="Times New Roman" w:hAnsi="Times New Roman"/>
                <w:sz w:val="15"/>
                <w:szCs w:val="15"/>
                <w:color w:val="auto"/>
              </w:rPr>
              <w:t>Florida</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Surgery Partners of Lake Worth, LLC</w:t>
            </w:r>
          </w:p>
        </w:tc>
        <w:tc>
          <w:tcPr>
            <w:tcW w:w="2140" w:type="dxa"/>
            <w:vAlign w:val="bottom"/>
          </w:tcPr>
          <w:p>
            <w:pPr>
              <w:ind w:left="840"/>
              <w:spacing w:after="0"/>
              <w:rPr>
                <w:sz w:val="20"/>
                <w:szCs w:val="20"/>
                <w:color w:val="auto"/>
              </w:rPr>
            </w:pPr>
            <w:r>
              <w:rPr>
                <w:rFonts w:ascii="Times New Roman" w:cs="Times New Roman" w:eastAsia="Times New Roman" w:hAnsi="Times New Roman"/>
                <w:sz w:val="15"/>
                <w:szCs w:val="15"/>
                <w:color w:val="auto"/>
              </w:rPr>
              <w:t>Florida</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Surgery Partners of Merritt Island, LLC</w:t>
            </w:r>
          </w:p>
        </w:tc>
        <w:tc>
          <w:tcPr>
            <w:tcW w:w="2140" w:type="dxa"/>
            <w:vAlign w:val="bottom"/>
          </w:tcPr>
          <w:p>
            <w:pPr>
              <w:ind w:left="840"/>
              <w:spacing w:after="0"/>
              <w:rPr>
                <w:sz w:val="20"/>
                <w:szCs w:val="20"/>
                <w:color w:val="auto"/>
              </w:rPr>
            </w:pPr>
            <w:r>
              <w:rPr>
                <w:rFonts w:ascii="Times New Roman" w:cs="Times New Roman" w:eastAsia="Times New Roman" w:hAnsi="Times New Roman"/>
                <w:sz w:val="15"/>
                <w:szCs w:val="15"/>
                <w:color w:val="auto"/>
              </w:rPr>
              <w:t>Florida</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Surgery Partners of Millenia, LLC</w:t>
            </w:r>
          </w:p>
        </w:tc>
        <w:tc>
          <w:tcPr>
            <w:tcW w:w="2140" w:type="dxa"/>
            <w:vAlign w:val="bottom"/>
          </w:tcPr>
          <w:p>
            <w:pPr>
              <w:ind w:left="840"/>
              <w:spacing w:after="0"/>
              <w:rPr>
                <w:sz w:val="20"/>
                <w:szCs w:val="20"/>
                <w:color w:val="auto"/>
              </w:rPr>
            </w:pPr>
            <w:r>
              <w:rPr>
                <w:rFonts w:ascii="Times New Roman" w:cs="Times New Roman" w:eastAsia="Times New Roman" w:hAnsi="Times New Roman"/>
                <w:sz w:val="15"/>
                <w:szCs w:val="15"/>
                <w:color w:val="auto"/>
              </w:rPr>
              <w:t>Florida</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Surgery Partners of Park Place, LLC</w:t>
            </w:r>
          </w:p>
        </w:tc>
        <w:tc>
          <w:tcPr>
            <w:tcW w:w="2140" w:type="dxa"/>
            <w:vAlign w:val="bottom"/>
          </w:tcPr>
          <w:p>
            <w:pPr>
              <w:ind w:left="840"/>
              <w:spacing w:after="0"/>
              <w:rPr>
                <w:sz w:val="20"/>
                <w:szCs w:val="20"/>
                <w:color w:val="auto"/>
              </w:rPr>
            </w:pPr>
            <w:r>
              <w:rPr>
                <w:rFonts w:ascii="Times New Roman" w:cs="Times New Roman" w:eastAsia="Times New Roman" w:hAnsi="Times New Roman"/>
                <w:sz w:val="15"/>
                <w:szCs w:val="15"/>
                <w:color w:val="auto"/>
              </w:rPr>
              <w:t>Florida</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Surgery Partners of Sarasota, LLC</w:t>
            </w:r>
          </w:p>
        </w:tc>
        <w:tc>
          <w:tcPr>
            <w:tcW w:w="2140" w:type="dxa"/>
            <w:vAlign w:val="bottom"/>
          </w:tcPr>
          <w:p>
            <w:pPr>
              <w:ind w:left="840"/>
              <w:spacing w:after="0"/>
              <w:rPr>
                <w:sz w:val="20"/>
                <w:szCs w:val="20"/>
                <w:color w:val="auto"/>
              </w:rPr>
            </w:pPr>
            <w:r>
              <w:rPr>
                <w:rFonts w:ascii="Times New Roman" w:cs="Times New Roman" w:eastAsia="Times New Roman" w:hAnsi="Times New Roman"/>
                <w:sz w:val="15"/>
                <w:szCs w:val="15"/>
                <w:color w:val="auto"/>
              </w:rPr>
              <w:t>Florida</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Surgery Partners Insurance of Tennessee, LLC</w:t>
            </w:r>
          </w:p>
        </w:tc>
        <w:tc>
          <w:tcPr>
            <w:tcW w:w="2140" w:type="dxa"/>
            <w:vAlign w:val="bottom"/>
          </w:tcPr>
          <w:p>
            <w:pPr>
              <w:ind w:left="840"/>
              <w:spacing w:after="0"/>
              <w:rPr>
                <w:sz w:val="20"/>
                <w:szCs w:val="20"/>
                <w:color w:val="auto"/>
              </w:rPr>
            </w:pPr>
            <w:r>
              <w:rPr>
                <w:rFonts w:ascii="Times New Roman" w:cs="Times New Roman" w:eastAsia="Times New Roman" w:hAnsi="Times New Roman"/>
                <w:sz w:val="15"/>
                <w:szCs w:val="15"/>
                <w:color w:val="auto"/>
              </w:rPr>
              <w:t>Tennessee</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Surgery Partners of West Kendall, L.L.C.</w:t>
            </w:r>
          </w:p>
        </w:tc>
        <w:tc>
          <w:tcPr>
            <w:tcW w:w="2140" w:type="dxa"/>
            <w:vAlign w:val="bottom"/>
          </w:tcPr>
          <w:p>
            <w:pPr>
              <w:ind w:left="840"/>
              <w:spacing w:after="0"/>
              <w:rPr>
                <w:sz w:val="20"/>
                <w:szCs w:val="20"/>
                <w:color w:val="auto"/>
              </w:rPr>
            </w:pPr>
            <w:r>
              <w:rPr>
                <w:rFonts w:ascii="Times New Roman" w:cs="Times New Roman" w:eastAsia="Times New Roman" w:hAnsi="Times New Roman"/>
                <w:sz w:val="15"/>
                <w:szCs w:val="15"/>
                <w:color w:val="auto"/>
              </w:rPr>
              <w:t>Florida</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Surgery Partners of Westchase, LLC</w:t>
            </w:r>
          </w:p>
        </w:tc>
        <w:tc>
          <w:tcPr>
            <w:tcW w:w="2140" w:type="dxa"/>
            <w:vAlign w:val="bottom"/>
          </w:tcPr>
          <w:p>
            <w:pPr>
              <w:ind w:left="840"/>
              <w:spacing w:after="0"/>
              <w:rPr>
                <w:sz w:val="20"/>
                <w:szCs w:val="20"/>
                <w:color w:val="auto"/>
              </w:rPr>
            </w:pPr>
            <w:r>
              <w:rPr>
                <w:rFonts w:ascii="Times New Roman" w:cs="Times New Roman" w:eastAsia="Times New Roman" w:hAnsi="Times New Roman"/>
                <w:sz w:val="15"/>
                <w:szCs w:val="15"/>
                <w:color w:val="auto"/>
              </w:rPr>
              <w:t>Florida</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Surgery Partners, LLC</w:t>
            </w:r>
          </w:p>
        </w:tc>
        <w:tc>
          <w:tcPr>
            <w:tcW w:w="2140" w:type="dxa"/>
            <w:vAlign w:val="bottom"/>
          </w:tcPr>
          <w:p>
            <w:pPr>
              <w:ind w:left="840"/>
              <w:spacing w:after="0"/>
              <w:rPr>
                <w:sz w:val="20"/>
                <w:szCs w:val="20"/>
                <w:color w:val="auto"/>
              </w:rPr>
            </w:pPr>
            <w:r>
              <w:rPr>
                <w:rFonts w:ascii="Times New Roman" w:cs="Times New Roman" w:eastAsia="Times New Roman" w:hAnsi="Times New Roman"/>
                <w:sz w:val="15"/>
                <w:szCs w:val="15"/>
                <w:color w:val="auto"/>
              </w:rPr>
              <w:t>Florida</w:t>
            </w:r>
          </w:p>
        </w:tc>
        <w:tc>
          <w:tcPr>
            <w:tcW w:w="452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SGRY SP, LLC</w:t>
            </w:r>
          </w:p>
        </w:tc>
        <w:tc>
          <w:tcPr>
            <w:tcW w:w="0" w:type="dxa"/>
            <w:vAlign w:val="bottom"/>
          </w:tcPr>
          <w:p>
            <w:pPr>
              <w:spacing w:after="0"/>
              <w:rPr>
                <w:sz w:val="1"/>
                <w:szCs w:val="1"/>
                <w:color w:val="auto"/>
              </w:rPr>
            </w:pPr>
          </w:p>
        </w:tc>
      </w:tr>
      <w:tr>
        <w:trPr>
          <w:trHeight w:val="206"/>
        </w:trPr>
        <w:tc>
          <w:tcPr>
            <w:tcW w:w="45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Symbion Ambulatory Resource Centres, LLC</w:t>
            </w:r>
          </w:p>
        </w:tc>
        <w:tc>
          <w:tcPr>
            <w:tcW w:w="2140" w:type="dxa"/>
            <w:vAlign w:val="bottom"/>
          </w:tcPr>
          <w:p>
            <w:pPr>
              <w:ind w:left="840"/>
              <w:spacing w:after="0"/>
              <w:rPr>
                <w:sz w:val="20"/>
                <w:szCs w:val="20"/>
                <w:color w:val="auto"/>
              </w:rPr>
            </w:pPr>
            <w:r>
              <w:rPr>
                <w:rFonts w:ascii="Times New Roman" w:cs="Times New Roman" w:eastAsia="Times New Roman" w:hAnsi="Times New Roman"/>
                <w:sz w:val="15"/>
                <w:szCs w:val="15"/>
                <w:color w:val="auto"/>
              </w:rPr>
              <w:t>Tennessee</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Symbion Holdings, LLC</w:t>
            </w:r>
          </w:p>
        </w:tc>
        <w:tc>
          <w:tcPr>
            <w:tcW w:w="2140" w:type="dxa"/>
            <w:vAlign w:val="bottom"/>
          </w:tcPr>
          <w:p>
            <w:pPr>
              <w:ind w:left="840"/>
              <w:spacing w:after="0"/>
              <w:rPr>
                <w:sz w:val="20"/>
                <w:szCs w:val="20"/>
                <w:color w:val="auto"/>
              </w:rPr>
            </w:pPr>
            <w:r>
              <w:rPr>
                <w:rFonts w:ascii="Times New Roman" w:cs="Times New Roman" w:eastAsia="Times New Roman" w:hAnsi="Times New Roman"/>
                <w:sz w:val="15"/>
                <w:szCs w:val="15"/>
                <w:color w:val="auto"/>
              </w:rPr>
              <w:t>Delaware</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SymbionARC Support Services, LLC</w:t>
            </w:r>
          </w:p>
        </w:tc>
        <w:tc>
          <w:tcPr>
            <w:tcW w:w="2140" w:type="dxa"/>
            <w:vAlign w:val="bottom"/>
          </w:tcPr>
          <w:p>
            <w:pPr>
              <w:ind w:left="840"/>
              <w:spacing w:after="0"/>
              <w:rPr>
                <w:sz w:val="20"/>
                <w:szCs w:val="20"/>
                <w:color w:val="auto"/>
              </w:rPr>
            </w:pPr>
            <w:r>
              <w:rPr>
                <w:rFonts w:ascii="Times New Roman" w:cs="Times New Roman" w:eastAsia="Times New Roman" w:hAnsi="Times New Roman"/>
                <w:sz w:val="15"/>
                <w:szCs w:val="15"/>
                <w:color w:val="auto"/>
              </w:rPr>
              <w:t>Tennessee</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Tampa Pain Relief Center, Inc.</w:t>
            </w:r>
          </w:p>
        </w:tc>
        <w:tc>
          <w:tcPr>
            <w:tcW w:w="2140" w:type="dxa"/>
            <w:vAlign w:val="bottom"/>
          </w:tcPr>
          <w:p>
            <w:pPr>
              <w:ind w:left="840"/>
              <w:spacing w:after="0"/>
              <w:rPr>
                <w:sz w:val="20"/>
                <w:szCs w:val="20"/>
                <w:color w:val="auto"/>
              </w:rPr>
            </w:pPr>
            <w:r>
              <w:rPr>
                <w:rFonts w:ascii="Times New Roman" w:cs="Times New Roman" w:eastAsia="Times New Roman" w:hAnsi="Times New Roman"/>
                <w:sz w:val="15"/>
                <w:szCs w:val="15"/>
                <w:color w:val="auto"/>
              </w:rPr>
              <w:t>Florida</w:t>
            </w:r>
          </w:p>
        </w:tc>
        <w:tc>
          <w:tcPr>
            <w:tcW w:w="452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Central Florida Pain Relief Centers</w:t>
            </w:r>
          </w:p>
        </w:tc>
        <w:tc>
          <w:tcPr>
            <w:tcW w:w="0" w:type="dxa"/>
            <w:vAlign w:val="bottom"/>
          </w:tcPr>
          <w:p>
            <w:pPr>
              <w:spacing w:after="0"/>
              <w:rPr>
                <w:sz w:val="1"/>
                <w:szCs w:val="1"/>
                <w:color w:val="auto"/>
              </w:rPr>
            </w:pPr>
          </w:p>
        </w:tc>
      </w:tr>
      <w:tr>
        <w:trPr>
          <w:trHeight w:val="206"/>
        </w:trPr>
        <w:tc>
          <w:tcPr>
            <w:tcW w:w="456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452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Florida Orthopedic Partners</w:t>
            </w:r>
          </w:p>
        </w:tc>
        <w:tc>
          <w:tcPr>
            <w:tcW w:w="0" w:type="dxa"/>
            <w:vAlign w:val="bottom"/>
          </w:tcPr>
          <w:p>
            <w:pPr>
              <w:spacing w:after="0"/>
              <w:rPr>
                <w:sz w:val="1"/>
                <w:szCs w:val="1"/>
                <w:color w:val="auto"/>
              </w:rPr>
            </w:pPr>
          </w:p>
        </w:tc>
      </w:tr>
    </w:tbl>
    <w:p>
      <w:pPr>
        <w:sectPr>
          <w:pgSz w:w="11900" w:h="16838" w:orient="portrait"/>
          <w:cols w:equalWidth="0" w:num="1">
            <w:col w:w="11220"/>
          </w:cols>
          <w:pgMar w:left="340" w:top="973" w:right="339" w:bottom="1440" w:gutter="0" w:footer="0" w:header="0"/>
        </w:sectPr>
      </w:pPr>
    </w:p>
    <w:bookmarkStart w:id="97" w:name="page98"/>
    <w:bookmarkEnd w:id="9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100" w:type="dxa"/>
            <w:vAlign w:val="bottom"/>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rPr>
              <w:t>Entity Name</w:t>
            </w:r>
          </w:p>
        </w:tc>
        <w:tc>
          <w:tcPr>
            <w:tcW w:w="2600" w:type="dxa"/>
            <w:vAlign w:val="bottom"/>
          </w:tcPr>
          <w:p>
            <w:pPr>
              <w:ind w:left="1300"/>
              <w:spacing w:after="0"/>
              <w:rPr>
                <w:sz w:val="20"/>
                <w:szCs w:val="20"/>
                <w:color w:val="auto"/>
              </w:rPr>
            </w:pPr>
            <w:r>
              <w:rPr>
                <w:rFonts w:ascii="Times New Roman" w:cs="Times New Roman" w:eastAsia="Times New Roman" w:hAnsi="Times New Roman"/>
                <w:sz w:val="15"/>
                <w:szCs w:val="15"/>
                <w:b w:val="1"/>
                <w:bCs w:val="1"/>
                <w:color w:val="auto"/>
              </w:rPr>
              <w:t>Jurisdiction of</w:t>
            </w:r>
          </w:p>
        </w:tc>
        <w:tc>
          <w:tcPr>
            <w:tcW w:w="4520" w:type="dxa"/>
            <w:vAlign w:val="bottom"/>
            <w:vMerge w:val="restart"/>
          </w:tcPr>
          <w:p>
            <w:pPr>
              <w:ind w:left="320"/>
              <w:spacing w:after="0"/>
              <w:rPr>
                <w:sz w:val="20"/>
                <w:szCs w:val="20"/>
                <w:color w:val="auto"/>
              </w:rPr>
            </w:pPr>
            <w:r>
              <w:rPr>
                <w:rFonts w:ascii="Times New Roman" w:cs="Times New Roman" w:eastAsia="Times New Roman" w:hAnsi="Times New Roman"/>
                <w:sz w:val="15"/>
                <w:szCs w:val="15"/>
                <w:b w:val="1"/>
                <w:bCs w:val="1"/>
                <w:color w:val="auto"/>
              </w:rPr>
              <w:t>Doing Business As</w:t>
            </w:r>
          </w:p>
        </w:tc>
        <w:tc>
          <w:tcPr>
            <w:tcW w:w="0" w:type="dxa"/>
            <w:vAlign w:val="bottom"/>
          </w:tcPr>
          <w:p>
            <w:pPr>
              <w:spacing w:after="0"/>
              <w:rPr>
                <w:sz w:val="1"/>
                <w:szCs w:val="1"/>
                <w:color w:val="auto"/>
              </w:rPr>
            </w:pPr>
          </w:p>
        </w:tc>
      </w:tr>
      <w:tr>
        <w:trPr>
          <w:trHeight w:val="205"/>
        </w:trPr>
        <w:tc>
          <w:tcPr>
            <w:tcW w:w="4100" w:type="dxa"/>
            <w:vAlign w:val="bottom"/>
            <w:tcBorders>
              <w:bottom w:val="single" w:sz="8" w:color="auto"/>
            </w:tcBorders>
            <w:vMerge w:val="continue"/>
          </w:tcPr>
          <w:p>
            <w:pPr>
              <w:spacing w:after="0"/>
              <w:rPr>
                <w:sz w:val="17"/>
                <w:szCs w:val="17"/>
                <w:color w:val="auto"/>
              </w:rPr>
            </w:pPr>
          </w:p>
        </w:tc>
        <w:tc>
          <w:tcPr>
            <w:tcW w:w="2600" w:type="dxa"/>
            <w:vAlign w:val="bottom"/>
            <w:tcBorders>
              <w:bottom w:val="single" w:sz="8" w:color="auto"/>
            </w:tcBorders>
          </w:tcPr>
          <w:p>
            <w:pPr>
              <w:ind w:left="1300"/>
              <w:spacing w:after="0"/>
              <w:rPr>
                <w:sz w:val="20"/>
                <w:szCs w:val="20"/>
                <w:color w:val="auto"/>
              </w:rPr>
            </w:pPr>
            <w:r>
              <w:rPr>
                <w:rFonts w:ascii="Times New Roman" w:cs="Times New Roman" w:eastAsia="Times New Roman" w:hAnsi="Times New Roman"/>
                <w:sz w:val="15"/>
                <w:szCs w:val="15"/>
                <w:b w:val="1"/>
                <w:bCs w:val="1"/>
                <w:color w:val="auto"/>
              </w:rPr>
              <w:t>Organization</w:t>
            </w:r>
          </w:p>
        </w:tc>
        <w:tc>
          <w:tcPr>
            <w:tcW w:w="45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10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452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Florida Pain Institute - Merritt Island</w:t>
            </w:r>
          </w:p>
        </w:tc>
        <w:tc>
          <w:tcPr>
            <w:tcW w:w="0" w:type="dxa"/>
            <w:vAlign w:val="bottom"/>
          </w:tcPr>
          <w:p>
            <w:pPr>
              <w:spacing w:after="0"/>
              <w:rPr>
                <w:sz w:val="1"/>
                <w:szCs w:val="1"/>
                <w:color w:val="auto"/>
              </w:rPr>
            </w:pPr>
          </w:p>
        </w:tc>
      </w:tr>
      <w:tr>
        <w:trPr>
          <w:trHeight w:val="206"/>
        </w:trPr>
        <w:tc>
          <w:tcPr>
            <w:tcW w:w="410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452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Florida Pain Institute - Palm Bay</w:t>
            </w:r>
          </w:p>
        </w:tc>
        <w:tc>
          <w:tcPr>
            <w:tcW w:w="0" w:type="dxa"/>
            <w:vAlign w:val="bottom"/>
          </w:tcPr>
          <w:p>
            <w:pPr>
              <w:spacing w:after="0"/>
              <w:rPr>
                <w:sz w:val="1"/>
                <w:szCs w:val="1"/>
                <w:color w:val="auto"/>
              </w:rPr>
            </w:pPr>
          </w:p>
        </w:tc>
      </w:tr>
      <w:tr>
        <w:trPr>
          <w:trHeight w:val="206"/>
        </w:trPr>
        <w:tc>
          <w:tcPr>
            <w:tcW w:w="410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452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Florinda Pain Institute - Pineda</w:t>
            </w:r>
          </w:p>
        </w:tc>
        <w:tc>
          <w:tcPr>
            <w:tcW w:w="0" w:type="dxa"/>
            <w:vAlign w:val="bottom"/>
          </w:tcPr>
          <w:p>
            <w:pPr>
              <w:spacing w:after="0"/>
              <w:rPr>
                <w:sz w:val="1"/>
                <w:szCs w:val="1"/>
                <w:color w:val="auto"/>
              </w:rPr>
            </w:pPr>
          </w:p>
        </w:tc>
      </w:tr>
      <w:tr>
        <w:trPr>
          <w:trHeight w:val="206"/>
        </w:trPr>
        <w:tc>
          <w:tcPr>
            <w:tcW w:w="410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452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Florida Spine Sports and Rehabilitation Center</w:t>
            </w:r>
          </w:p>
        </w:tc>
        <w:tc>
          <w:tcPr>
            <w:tcW w:w="0" w:type="dxa"/>
            <w:vAlign w:val="bottom"/>
          </w:tcPr>
          <w:p>
            <w:pPr>
              <w:spacing w:after="0"/>
              <w:rPr>
                <w:sz w:val="1"/>
                <w:szCs w:val="1"/>
                <w:color w:val="auto"/>
              </w:rPr>
            </w:pPr>
          </w:p>
        </w:tc>
      </w:tr>
      <w:tr>
        <w:trPr>
          <w:trHeight w:val="206"/>
        </w:trPr>
        <w:tc>
          <w:tcPr>
            <w:tcW w:w="410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452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Orlando Pain Relief Center</w:t>
            </w:r>
          </w:p>
        </w:tc>
        <w:tc>
          <w:tcPr>
            <w:tcW w:w="0" w:type="dxa"/>
            <w:vAlign w:val="bottom"/>
          </w:tcPr>
          <w:p>
            <w:pPr>
              <w:spacing w:after="0"/>
              <w:rPr>
                <w:sz w:val="1"/>
                <w:szCs w:val="1"/>
                <w:color w:val="auto"/>
              </w:rPr>
            </w:pPr>
          </w:p>
        </w:tc>
      </w:tr>
      <w:tr>
        <w:trPr>
          <w:trHeight w:val="206"/>
        </w:trPr>
        <w:tc>
          <w:tcPr>
            <w:tcW w:w="410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452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Pain Medicine Institute</w:t>
            </w:r>
          </w:p>
        </w:tc>
        <w:tc>
          <w:tcPr>
            <w:tcW w:w="0" w:type="dxa"/>
            <w:vAlign w:val="bottom"/>
          </w:tcPr>
          <w:p>
            <w:pPr>
              <w:spacing w:after="0"/>
              <w:rPr>
                <w:sz w:val="1"/>
                <w:szCs w:val="1"/>
                <w:color w:val="auto"/>
              </w:rPr>
            </w:pPr>
          </w:p>
        </w:tc>
      </w:tr>
      <w:tr>
        <w:trPr>
          <w:trHeight w:val="206"/>
        </w:trPr>
        <w:tc>
          <w:tcPr>
            <w:tcW w:w="410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452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Rehabilitation Medical Group</w:t>
            </w:r>
          </w:p>
        </w:tc>
        <w:tc>
          <w:tcPr>
            <w:tcW w:w="0" w:type="dxa"/>
            <w:vAlign w:val="bottom"/>
          </w:tcPr>
          <w:p>
            <w:pPr>
              <w:spacing w:after="0"/>
              <w:rPr>
                <w:sz w:val="1"/>
                <w:szCs w:val="1"/>
                <w:color w:val="auto"/>
              </w:rPr>
            </w:pPr>
          </w:p>
        </w:tc>
      </w:tr>
      <w:tr>
        <w:trPr>
          <w:trHeight w:val="206"/>
        </w:trPr>
        <w:tc>
          <w:tcPr>
            <w:tcW w:w="410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452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Sarasota Pain Relief Center - Bradenton</w:t>
            </w:r>
          </w:p>
        </w:tc>
        <w:tc>
          <w:tcPr>
            <w:tcW w:w="0" w:type="dxa"/>
            <w:vAlign w:val="bottom"/>
          </w:tcPr>
          <w:p>
            <w:pPr>
              <w:spacing w:after="0"/>
              <w:rPr>
                <w:sz w:val="1"/>
                <w:szCs w:val="1"/>
                <w:color w:val="auto"/>
              </w:rPr>
            </w:pPr>
          </w:p>
        </w:tc>
      </w:tr>
      <w:tr>
        <w:trPr>
          <w:trHeight w:val="206"/>
        </w:trPr>
        <w:tc>
          <w:tcPr>
            <w:tcW w:w="410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452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Sarasota Pain Relief Center - CPCS</w:t>
            </w:r>
          </w:p>
        </w:tc>
        <w:tc>
          <w:tcPr>
            <w:tcW w:w="0" w:type="dxa"/>
            <w:vAlign w:val="bottom"/>
          </w:tcPr>
          <w:p>
            <w:pPr>
              <w:spacing w:after="0"/>
              <w:rPr>
                <w:sz w:val="1"/>
                <w:szCs w:val="1"/>
                <w:color w:val="auto"/>
              </w:rPr>
            </w:pPr>
          </w:p>
        </w:tc>
      </w:tr>
      <w:tr>
        <w:trPr>
          <w:trHeight w:val="206"/>
        </w:trPr>
        <w:tc>
          <w:tcPr>
            <w:tcW w:w="410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452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Sarasota Pain Relief Center - Downtown</w:t>
            </w:r>
          </w:p>
        </w:tc>
        <w:tc>
          <w:tcPr>
            <w:tcW w:w="0" w:type="dxa"/>
            <w:vAlign w:val="bottom"/>
          </w:tcPr>
          <w:p>
            <w:pPr>
              <w:spacing w:after="0"/>
              <w:rPr>
                <w:sz w:val="1"/>
                <w:szCs w:val="1"/>
                <w:color w:val="auto"/>
              </w:rPr>
            </w:pPr>
          </w:p>
        </w:tc>
      </w:tr>
      <w:tr>
        <w:trPr>
          <w:trHeight w:val="206"/>
        </w:trPr>
        <w:tc>
          <w:tcPr>
            <w:tcW w:w="410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452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Sarasota Pain Relief Center - Venice</w:t>
            </w:r>
          </w:p>
        </w:tc>
        <w:tc>
          <w:tcPr>
            <w:tcW w:w="0" w:type="dxa"/>
            <w:vAlign w:val="bottom"/>
          </w:tcPr>
          <w:p>
            <w:pPr>
              <w:spacing w:after="0"/>
              <w:rPr>
                <w:sz w:val="1"/>
                <w:szCs w:val="1"/>
                <w:color w:val="auto"/>
              </w:rPr>
            </w:pPr>
          </w:p>
        </w:tc>
      </w:tr>
      <w:tr>
        <w:trPr>
          <w:trHeight w:val="206"/>
        </w:trPr>
        <w:tc>
          <w:tcPr>
            <w:tcW w:w="410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452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Sarasota Pain Relief Center</w:t>
            </w:r>
          </w:p>
        </w:tc>
        <w:tc>
          <w:tcPr>
            <w:tcW w:w="0" w:type="dxa"/>
            <w:vAlign w:val="bottom"/>
          </w:tcPr>
          <w:p>
            <w:pPr>
              <w:spacing w:after="0"/>
              <w:rPr>
                <w:sz w:val="1"/>
                <w:szCs w:val="1"/>
                <w:color w:val="auto"/>
              </w:rPr>
            </w:pPr>
          </w:p>
        </w:tc>
      </w:tr>
      <w:tr>
        <w:trPr>
          <w:trHeight w:val="206"/>
        </w:trPr>
        <w:tc>
          <w:tcPr>
            <w:tcW w:w="410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452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South Florida Pain Relief Center</w:t>
            </w:r>
          </w:p>
        </w:tc>
        <w:tc>
          <w:tcPr>
            <w:tcW w:w="0" w:type="dxa"/>
            <w:vAlign w:val="bottom"/>
          </w:tcPr>
          <w:p>
            <w:pPr>
              <w:spacing w:after="0"/>
              <w:rPr>
                <w:sz w:val="1"/>
                <w:szCs w:val="1"/>
                <w:color w:val="auto"/>
              </w:rPr>
            </w:pPr>
          </w:p>
        </w:tc>
      </w:tr>
      <w:tr>
        <w:trPr>
          <w:trHeight w:val="206"/>
        </w:trPr>
        <w:tc>
          <w:tcPr>
            <w:tcW w:w="41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Tattnall Hospital Company, LLC</w:t>
            </w:r>
          </w:p>
        </w:tc>
        <w:tc>
          <w:tcPr>
            <w:tcW w:w="2600" w:type="dxa"/>
            <w:vAlign w:val="bottom"/>
          </w:tcPr>
          <w:p>
            <w:pPr>
              <w:ind w:left="1300"/>
              <w:spacing w:after="0"/>
              <w:rPr>
                <w:sz w:val="20"/>
                <w:szCs w:val="20"/>
                <w:color w:val="auto"/>
              </w:rPr>
            </w:pPr>
            <w:r>
              <w:rPr>
                <w:rFonts w:ascii="Times New Roman" w:cs="Times New Roman" w:eastAsia="Times New Roman" w:hAnsi="Times New Roman"/>
                <w:sz w:val="15"/>
                <w:szCs w:val="15"/>
                <w:color w:val="auto"/>
              </w:rPr>
              <w:t>Georgia</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1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Texas Physicians Group</w:t>
            </w:r>
          </w:p>
        </w:tc>
        <w:tc>
          <w:tcPr>
            <w:tcW w:w="2600" w:type="dxa"/>
            <w:vAlign w:val="bottom"/>
          </w:tcPr>
          <w:p>
            <w:pPr>
              <w:ind w:left="1300"/>
              <w:spacing w:after="0"/>
              <w:rPr>
                <w:sz w:val="20"/>
                <w:szCs w:val="20"/>
                <w:color w:val="auto"/>
              </w:rPr>
            </w:pPr>
            <w:r>
              <w:rPr>
                <w:rFonts w:ascii="Times New Roman" w:cs="Times New Roman" w:eastAsia="Times New Roman" w:hAnsi="Times New Roman"/>
                <w:sz w:val="15"/>
                <w:szCs w:val="15"/>
                <w:color w:val="auto"/>
              </w:rPr>
              <w:t>Texas</w:t>
            </w:r>
          </w:p>
        </w:tc>
        <w:tc>
          <w:tcPr>
            <w:tcW w:w="452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Austin Wound Care and Hyperbaric Center</w:t>
            </w:r>
          </w:p>
        </w:tc>
        <w:tc>
          <w:tcPr>
            <w:tcW w:w="0" w:type="dxa"/>
            <w:vAlign w:val="bottom"/>
          </w:tcPr>
          <w:p>
            <w:pPr>
              <w:spacing w:after="0"/>
              <w:rPr>
                <w:sz w:val="1"/>
                <w:szCs w:val="1"/>
                <w:color w:val="auto"/>
              </w:rPr>
            </w:pPr>
          </w:p>
        </w:tc>
      </w:tr>
      <w:tr>
        <w:trPr>
          <w:trHeight w:val="206"/>
        </w:trPr>
        <w:tc>
          <w:tcPr>
            <w:tcW w:w="41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The Center for Specialized Surgery, LP</w:t>
            </w:r>
          </w:p>
        </w:tc>
        <w:tc>
          <w:tcPr>
            <w:tcW w:w="2600" w:type="dxa"/>
            <w:vAlign w:val="bottom"/>
          </w:tcPr>
          <w:p>
            <w:pPr>
              <w:ind w:left="1300"/>
              <w:spacing w:after="0"/>
              <w:rPr>
                <w:sz w:val="20"/>
                <w:szCs w:val="20"/>
                <w:color w:val="auto"/>
              </w:rPr>
            </w:pPr>
            <w:r>
              <w:rPr>
                <w:rFonts w:ascii="Times New Roman" w:cs="Times New Roman" w:eastAsia="Times New Roman" w:hAnsi="Times New Roman"/>
                <w:sz w:val="15"/>
                <w:szCs w:val="15"/>
                <w:color w:val="auto"/>
              </w:rPr>
              <w:t>Pennsylvania</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1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The Surgery Center of Ocala, LLC</w:t>
            </w:r>
          </w:p>
        </w:tc>
        <w:tc>
          <w:tcPr>
            <w:tcW w:w="2600" w:type="dxa"/>
            <w:vAlign w:val="bottom"/>
          </w:tcPr>
          <w:p>
            <w:pPr>
              <w:ind w:left="1300"/>
              <w:spacing w:after="0"/>
              <w:rPr>
                <w:sz w:val="20"/>
                <w:szCs w:val="20"/>
                <w:color w:val="auto"/>
              </w:rPr>
            </w:pPr>
            <w:r>
              <w:rPr>
                <w:rFonts w:ascii="Times New Roman" w:cs="Times New Roman" w:eastAsia="Times New Roman" w:hAnsi="Times New Roman"/>
                <w:sz w:val="15"/>
                <w:szCs w:val="15"/>
                <w:color w:val="auto"/>
              </w:rPr>
              <w:t>Tennessee</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1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Tracy Surgery Center, LLC</w:t>
            </w:r>
          </w:p>
        </w:tc>
        <w:tc>
          <w:tcPr>
            <w:tcW w:w="2600" w:type="dxa"/>
            <w:vAlign w:val="bottom"/>
          </w:tcPr>
          <w:p>
            <w:pPr>
              <w:ind w:left="1300"/>
              <w:spacing w:after="0"/>
              <w:rPr>
                <w:sz w:val="20"/>
                <w:szCs w:val="20"/>
                <w:color w:val="auto"/>
              </w:rPr>
            </w:pPr>
            <w:r>
              <w:rPr>
                <w:rFonts w:ascii="Times New Roman" w:cs="Times New Roman" w:eastAsia="Times New Roman" w:hAnsi="Times New Roman"/>
                <w:sz w:val="15"/>
                <w:szCs w:val="15"/>
                <w:color w:val="auto"/>
              </w:rPr>
              <w:t>California</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1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Triangle Surgery Center, LLC</w:t>
            </w:r>
          </w:p>
        </w:tc>
        <w:tc>
          <w:tcPr>
            <w:tcW w:w="2600" w:type="dxa"/>
            <w:vAlign w:val="bottom"/>
          </w:tcPr>
          <w:p>
            <w:pPr>
              <w:ind w:left="1300"/>
              <w:spacing w:after="0"/>
              <w:rPr>
                <w:sz w:val="20"/>
                <w:szCs w:val="20"/>
                <w:color w:val="auto"/>
              </w:rPr>
            </w:pPr>
            <w:r>
              <w:rPr>
                <w:rFonts w:ascii="Times New Roman" w:cs="Times New Roman" w:eastAsia="Times New Roman" w:hAnsi="Times New Roman"/>
                <w:sz w:val="15"/>
                <w:szCs w:val="15"/>
                <w:color w:val="auto"/>
              </w:rPr>
              <w:t>North Carolina</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1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UCLA/SP Holdings, LLC</w:t>
            </w:r>
          </w:p>
        </w:tc>
        <w:tc>
          <w:tcPr>
            <w:tcW w:w="2600" w:type="dxa"/>
            <w:vAlign w:val="bottom"/>
          </w:tcPr>
          <w:p>
            <w:pPr>
              <w:ind w:left="1300"/>
              <w:spacing w:after="0"/>
              <w:rPr>
                <w:sz w:val="20"/>
                <w:szCs w:val="20"/>
                <w:color w:val="auto"/>
              </w:rPr>
            </w:pPr>
            <w:r>
              <w:rPr>
                <w:rFonts w:ascii="Times New Roman" w:cs="Times New Roman" w:eastAsia="Times New Roman" w:hAnsi="Times New Roman"/>
                <w:sz w:val="15"/>
                <w:szCs w:val="15"/>
                <w:color w:val="auto"/>
              </w:rPr>
              <w:t>Delaware</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1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UniPhy Healthcare of Johnson City VI, LLC</w:t>
            </w:r>
          </w:p>
        </w:tc>
        <w:tc>
          <w:tcPr>
            <w:tcW w:w="2600" w:type="dxa"/>
            <w:vAlign w:val="bottom"/>
          </w:tcPr>
          <w:p>
            <w:pPr>
              <w:ind w:left="1300"/>
              <w:spacing w:after="0"/>
              <w:rPr>
                <w:sz w:val="20"/>
                <w:szCs w:val="20"/>
                <w:color w:val="auto"/>
              </w:rPr>
            </w:pPr>
            <w:r>
              <w:rPr>
                <w:rFonts w:ascii="Times New Roman" w:cs="Times New Roman" w:eastAsia="Times New Roman" w:hAnsi="Times New Roman"/>
                <w:sz w:val="15"/>
                <w:szCs w:val="15"/>
                <w:color w:val="auto"/>
              </w:rPr>
              <w:t>Tennessee</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1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United ASC Holding Company, LLC</w:t>
            </w:r>
          </w:p>
        </w:tc>
        <w:tc>
          <w:tcPr>
            <w:tcW w:w="2600" w:type="dxa"/>
            <w:vAlign w:val="bottom"/>
          </w:tcPr>
          <w:p>
            <w:pPr>
              <w:ind w:left="1300"/>
              <w:spacing w:after="0"/>
              <w:rPr>
                <w:sz w:val="20"/>
                <w:szCs w:val="20"/>
                <w:color w:val="auto"/>
              </w:rPr>
            </w:pPr>
            <w:r>
              <w:rPr>
                <w:rFonts w:ascii="Times New Roman" w:cs="Times New Roman" w:eastAsia="Times New Roman" w:hAnsi="Times New Roman"/>
                <w:sz w:val="15"/>
                <w:szCs w:val="15"/>
                <w:color w:val="auto"/>
              </w:rPr>
              <w:t>Delaware</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1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Universal Management, LLC</w:t>
            </w:r>
          </w:p>
        </w:tc>
        <w:tc>
          <w:tcPr>
            <w:tcW w:w="2600" w:type="dxa"/>
            <w:vAlign w:val="bottom"/>
          </w:tcPr>
          <w:p>
            <w:pPr>
              <w:ind w:left="1300"/>
              <w:spacing w:after="0"/>
              <w:rPr>
                <w:sz w:val="20"/>
                <w:szCs w:val="20"/>
                <w:color w:val="auto"/>
              </w:rPr>
            </w:pPr>
            <w:r>
              <w:rPr>
                <w:rFonts w:ascii="Times New Roman" w:cs="Times New Roman" w:eastAsia="Times New Roman" w:hAnsi="Times New Roman"/>
                <w:sz w:val="15"/>
                <w:szCs w:val="15"/>
                <w:color w:val="auto"/>
              </w:rPr>
              <w:t>Delaware</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1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Universal Spine &amp; Joint Specialists, LLC</w:t>
            </w:r>
          </w:p>
        </w:tc>
        <w:tc>
          <w:tcPr>
            <w:tcW w:w="2600" w:type="dxa"/>
            <w:vAlign w:val="bottom"/>
          </w:tcPr>
          <w:p>
            <w:pPr>
              <w:ind w:left="1300"/>
              <w:spacing w:after="0"/>
              <w:rPr>
                <w:sz w:val="20"/>
                <w:szCs w:val="20"/>
                <w:color w:val="auto"/>
              </w:rPr>
            </w:pPr>
            <w:r>
              <w:rPr>
                <w:rFonts w:ascii="Times New Roman" w:cs="Times New Roman" w:eastAsia="Times New Roman" w:hAnsi="Times New Roman"/>
                <w:sz w:val="15"/>
                <w:szCs w:val="15"/>
                <w:color w:val="auto"/>
              </w:rPr>
              <w:t>Florida</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1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Valencia ASC, LLC</w:t>
            </w:r>
          </w:p>
        </w:tc>
        <w:tc>
          <w:tcPr>
            <w:tcW w:w="2600" w:type="dxa"/>
            <w:vAlign w:val="bottom"/>
          </w:tcPr>
          <w:p>
            <w:pPr>
              <w:ind w:left="1300"/>
              <w:spacing w:after="0"/>
              <w:rPr>
                <w:sz w:val="20"/>
                <w:szCs w:val="20"/>
                <w:color w:val="auto"/>
              </w:rPr>
            </w:pPr>
            <w:r>
              <w:rPr>
                <w:rFonts w:ascii="Times New Roman" w:cs="Times New Roman" w:eastAsia="Times New Roman" w:hAnsi="Times New Roman"/>
                <w:sz w:val="15"/>
                <w:szCs w:val="15"/>
                <w:color w:val="auto"/>
              </w:rPr>
              <w:t>California</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1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Valley Ambulatory Surgery Center, L.P.</w:t>
            </w:r>
          </w:p>
        </w:tc>
        <w:tc>
          <w:tcPr>
            <w:tcW w:w="2600" w:type="dxa"/>
            <w:vAlign w:val="bottom"/>
          </w:tcPr>
          <w:p>
            <w:pPr>
              <w:ind w:left="1300"/>
              <w:spacing w:after="0"/>
              <w:rPr>
                <w:sz w:val="20"/>
                <w:szCs w:val="20"/>
                <w:color w:val="auto"/>
              </w:rPr>
            </w:pPr>
            <w:r>
              <w:rPr>
                <w:rFonts w:ascii="Times New Roman" w:cs="Times New Roman" w:eastAsia="Times New Roman" w:hAnsi="Times New Roman"/>
                <w:sz w:val="15"/>
                <w:szCs w:val="15"/>
                <w:color w:val="auto"/>
              </w:rPr>
              <w:t>Illinois</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1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Valley Surgical Center, Ltd.</w:t>
            </w:r>
          </w:p>
        </w:tc>
        <w:tc>
          <w:tcPr>
            <w:tcW w:w="2600" w:type="dxa"/>
            <w:vAlign w:val="bottom"/>
          </w:tcPr>
          <w:p>
            <w:pPr>
              <w:ind w:left="1300"/>
              <w:spacing w:after="0"/>
              <w:rPr>
                <w:sz w:val="20"/>
                <w:szCs w:val="20"/>
                <w:color w:val="auto"/>
              </w:rPr>
            </w:pPr>
            <w:r>
              <w:rPr>
                <w:rFonts w:ascii="Times New Roman" w:cs="Times New Roman" w:eastAsia="Times New Roman" w:hAnsi="Times New Roman"/>
                <w:sz w:val="15"/>
                <w:szCs w:val="15"/>
                <w:color w:val="auto"/>
              </w:rPr>
              <w:t>Ohio</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1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VASC, LLC</w:t>
            </w:r>
          </w:p>
        </w:tc>
        <w:tc>
          <w:tcPr>
            <w:tcW w:w="2600" w:type="dxa"/>
            <w:vAlign w:val="bottom"/>
          </w:tcPr>
          <w:p>
            <w:pPr>
              <w:ind w:left="1300"/>
              <w:spacing w:after="0"/>
              <w:rPr>
                <w:sz w:val="20"/>
                <w:szCs w:val="20"/>
                <w:color w:val="auto"/>
              </w:rPr>
            </w:pPr>
            <w:r>
              <w:rPr>
                <w:rFonts w:ascii="Times New Roman" w:cs="Times New Roman" w:eastAsia="Times New Roman" w:hAnsi="Times New Roman"/>
                <w:sz w:val="15"/>
                <w:szCs w:val="15"/>
                <w:color w:val="auto"/>
              </w:rPr>
              <w:t>Illinois</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1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VH Naples Holdings, LLC</w:t>
            </w:r>
          </w:p>
        </w:tc>
        <w:tc>
          <w:tcPr>
            <w:tcW w:w="2600" w:type="dxa"/>
            <w:vAlign w:val="bottom"/>
          </w:tcPr>
          <w:p>
            <w:pPr>
              <w:ind w:left="1300"/>
              <w:spacing w:after="0"/>
              <w:rPr>
                <w:sz w:val="20"/>
                <w:szCs w:val="20"/>
                <w:color w:val="auto"/>
              </w:rPr>
            </w:pPr>
            <w:r>
              <w:rPr>
                <w:rFonts w:ascii="Times New Roman" w:cs="Times New Roman" w:eastAsia="Times New Roman" w:hAnsi="Times New Roman"/>
                <w:sz w:val="15"/>
                <w:szCs w:val="15"/>
                <w:color w:val="auto"/>
              </w:rPr>
              <w:t>Kansas</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1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VH SEFL Holdings, LLC</w:t>
            </w:r>
          </w:p>
        </w:tc>
        <w:tc>
          <w:tcPr>
            <w:tcW w:w="2600" w:type="dxa"/>
            <w:vAlign w:val="bottom"/>
          </w:tcPr>
          <w:p>
            <w:pPr>
              <w:ind w:left="1300"/>
              <w:spacing w:after="0"/>
              <w:rPr>
                <w:sz w:val="20"/>
                <w:szCs w:val="20"/>
                <w:color w:val="auto"/>
              </w:rPr>
            </w:pPr>
            <w:r>
              <w:rPr>
                <w:rFonts w:ascii="Times New Roman" w:cs="Times New Roman" w:eastAsia="Times New Roman" w:hAnsi="Times New Roman"/>
                <w:sz w:val="15"/>
                <w:szCs w:val="15"/>
                <w:color w:val="auto"/>
              </w:rPr>
              <w:t>Kansas</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1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VH Springfield Holdings, LLC</w:t>
            </w:r>
          </w:p>
        </w:tc>
        <w:tc>
          <w:tcPr>
            <w:tcW w:w="2600" w:type="dxa"/>
            <w:vAlign w:val="bottom"/>
          </w:tcPr>
          <w:p>
            <w:pPr>
              <w:ind w:left="1300"/>
              <w:spacing w:after="0"/>
              <w:rPr>
                <w:sz w:val="20"/>
                <w:szCs w:val="20"/>
                <w:color w:val="auto"/>
              </w:rPr>
            </w:pPr>
            <w:r>
              <w:rPr>
                <w:rFonts w:ascii="Times New Roman" w:cs="Times New Roman" w:eastAsia="Times New Roman" w:hAnsi="Times New Roman"/>
                <w:sz w:val="15"/>
                <w:szCs w:val="15"/>
                <w:color w:val="auto"/>
              </w:rPr>
              <w:t>Kansas</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1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VH Villages Holdings, LLC</w:t>
            </w:r>
          </w:p>
        </w:tc>
        <w:tc>
          <w:tcPr>
            <w:tcW w:w="2600" w:type="dxa"/>
            <w:vAlign w:val="bottom"/>
          </w:tcPr>
          <w:p>
            <w:pPr>
              <w:ind w:left="1300"/>
              <w:spacing w:after="0"/>
              <w:rPr>
                <w:sz w:val="20"/>
                <w:szCs w:val="20"/>
                <w:color w:val="auto"/>
              </w:rPr>
            </w:pPr>
            <w:r>
              <w:rPr>
                <w:rFonts w:ascii="Times New Roman" w:cs="Times New Roman" w:eastAsia="Times New Roman" w:hAnsi="Times New Roman"/>
                <w:sz w:val="15"/>
                <w:szCs w:val="15"/>
                <w:color w:val="auto"/>
              </w:rPr>
              <w:t>Kansas</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1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Village Surgicenter, LLC</w:t>
            </w:r>
          </w:p>
        </w:tc>
        <w:tc>
          <w:tcPr>
            <w:tcW w:w="2600" w:type="dxa"/>
            <w:vAlign w:val="bottom"/>
          </w:tcPr>
          <w:p>
            <w:pPr>
              <w:ind w:left="1300"/>
              <w:spacing w:after="0"/>
              <w:rPr>
                <w:sz w:val="20"/>
                <w:szCs w:val="20"/>
                <w:color w:val="auto"/>
              </w:rPr>
            </w:pPr>
            <w:r>
              <w:rPr>
                <w:rFonts w:ascii="Times New Roman" w:cs="Times New Roman" w:eastAsia="Times New Roman" w:hAnsi="Times New Roman"/>
                <w:sz w:val="15"/>
                <w:szCs w:val="15"/>
                <w:color w:val="auto"/>
              </w:rPr>
              <w:t>Delaware</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1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Village Surgicenter, Limited Partnership</w:t>
            </w:r>
          </w:p>
        </w:tc>
        <w:tc>
          <w:tcPr>
            <w:tcW w:w="2600" w:type="dxa"/>
            <w:vAlign w:val="bottom"/>
          </w:tcPr>
          <w:p>
            <w:pPr>
              <w:ind w:left="1300"/>
              <w:spacing w:after="0"/>
              <w:rPr>
                <w:sz w:val="20"/>
                <w:szCs w:val="20"/>
                <w:color w:val="auto"/>
              </w:rPr>
            </w:pPr>
            <w:r>
              <w:rPr>
                <w:rFonts w:ascii="Times New Roman" w:cs="Times New Roman" w:eastAsia="Times New Roman" w:hAnsi="Times New Roman"/>
                <w:sz w:val="15"/>
                <w:szCs w:val="15"/>
                <w:color w:val="auto"/>
              </w:rPr>
              <w:t>Delaware</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1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West Bloomfield Surgery Center LLC</w:t>
            </w:r>
          </w:p>
        </w:tc>
        <w:tc>
          <w:tcPr>
            <w:tcW w:w="2600" w:type="dxa"/>
            <w:vAlign w:val="bottom"/>
          </w:tcPr>
          <w:p>
            <w:pPr>
              <w:ind w:left="1300"/>
              <w:spacing w:after="0"/>
              <w:rPr>
                <w:sz w:val="20"/>
                <w:szCs w:val="20"/>
                <w:color w:val="auto"/>
              </w:rPr>
            </w:pPr>
            <w:r>
              <w:rPr>
                <w:rFonts w:ascii="Times New Roman" w:cs="Times New Roman" w:eastAsia="Times New Roman" w:hAnsi="Times New Roman"/>
                <w:sz w:val="15"/>
                <w:szCs w:val="15"/>
                <w:color w:val="auto"/>
              </w:rPr>
              <w:t>Michigan</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40" w:top="973" w:right="339" w:bottom="1440" w:gutter="0" w:footer="0" w:header="0"/>
        </w:sectPr>
      </w:pPr>
    </w:p>
    <w:bookmarkStart w:id="98" w:name="page99"/>
    <w:bookmarkEnd w:id="98"/>
    <w:p>
      <w:pPr>
        <w:jc w:val="right"/>
        <w:spacing w:after="0"/>
        <w:rPr>
          <w:sz w:val="20"/>
          <w:szCs w:val="20"/>
          <w:color w:val="auto"/>
        </w:rPr>
      </w:pPr>
      <w:r>
        <w:rPr>
          <w:rFonts w:ascii="Times New Roman" w:cs="Times New Roman" w:eastAsia="Times New Roman" w:hAnsi="Times New Roman"/>
          <w:sz w:val="15"/>
          <w:szCs w:val="15"/>
          <w:b w:val="1"/>
          <w:bCs w:val="1"/>
          <w:color w:val="auto"/>
        </w:rPr>
        <w:t>Exhibit 23.1</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CONSENT OF INDEPENDENT REGISTERED PUBLIC ACCOUNTING FIRM</w:t>
      </w:r>
    </w:p>
    <w:p>
      <w:pPr>
        <w:spacing w:after="0" w:line="244"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5"/>
          <w:szCs w:val="15"/>
          <w:color w:val="auto"/>
        </w:rPr>
        <w:t>We consent to the incorporation by reference in Registration Statement Nos. 333-207298, 333-233223, 333-260831 and 333-287927 on Form S-8 of our report dated February 26, 2024, relating to the financial statements of Surgery Partners, Inc. and subsidiaries (the “Company”) appearing in this Annual Report on Form 10-K for the year ended December 31, 2025.</w:t>
      </w: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 Deloitte &amp; Touche LLP</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Nashville, TN</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March 2, 2026</w:t>
      </w:r>
    </w:p>
    <w:p>
      <w:pPr>
        <w:sectPr>
          <w:pgSz w:w="11900" w:h="16838" w:orient="portrait"/>
          <w:cols w:equalWidth="0" w:num="1">
            <w:col w:w="11240"/>
          </w:cols>
          <w:pgMar w:left="320" w:top="1013" w:right="339" w:bottom="1440" w:gutter="0" w:footer="0" w:header="0"/>
        </w:sectPr>
      </w:pPr>
    </w:p>
    <w:bookmarkStart w:id="99" w:name="page100"/>
    <w:bookmarkEnd w:id="99"/>
    <w:p>
      <w:pPr>
        <w:ind w:left="10440"/>
        <w:spacing w:after="0"/>
        <w:rPr>
          <w:sz w:val="20"/>
          <w:szCs w:val="20"/>
          <w:color w:val="auto"/>
        </w:rPr>
      </w:pPr>
      <w:r>
        <w:rPr>
          <w:rFonts w:ascii="Times New Roman" w:cs="Times New Roman" w:eastAsia="Times New Roman" w:hAnsi="Times New Roman"/>
          <w:sz w:val="15"/>
          <w:szCs w:val="15"/>
          <w:b w:val="1"/>
          <w:bCs w:val="1"/>
          <w:color w:val="auto"/>
        </w:rPr>
        <w:t>Exhibit 23.2</w:t>
      </w:r>
    </w:p>
    <w:p>
      <w:pPr>
        <w:spacing w:after="0" w:line="200" w:lineRule="exact"/>
        <w:rPr>
          <w:sz w:val="20"/>
          <w:szCs w:val="20"/>
          <w:color w:val="auto"/>
        </w:rPr>
      </w:pPr>
    </w:p>
    <w:p>
      <w:pPr>
        <w:spacing w:after="0" w:line="34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5"/>
          <w:szCs w:val="15"/>
          <w:b w:val="1"/>
          <w:bCs w:val="1"/>
          <w:color w:val="auto"/>
        </w:rPr>
        <w:t>Consent of Independent Registered Public Accounting Firm</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333333"/>
        </w:rPr>
        <w:t>We consent to the incorporation by reference in the Registration Statements:</w:t>
      </w:r>
    </w:p>
    <w:p>
      <w:pPr>
        <w:spacing w:after="0" w:line="227" w:lineRule="exact"/>
        <w:rPr>
          <w:sz w:val="20"/>
          <w:szCs w:val="20"/>
          <w:color w:val="auto"/>
        </w:rPr>
      </w:pPr>
    </w:p>
    <w:p>
      <w:pPr>
        <w:ind w:left="620" w:hanging="307"/>
        <w:spacing w:after="0"/>
        <w:tabs>
          <w:tab w:leader="none" w:pos="620"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333333"/>
        </w:rPr>
        <w:t xml:space="preserve">Registration Statement (Form S-8 Nos. 333-207298 and 333-233223) pertaining to the Surgery Partners, Inc. </w:t>
      </w:r>
      <w:r>
        <w:rPr>
          <w:rFonts w:ascii="Times New Roman" w:cs="Times New Roman" w:eastAsia="Times New Roman" w:hAnsi="Times New Roman"/>
          <w:sz w:val="15"/>
          <w:szCs w:val="15"/>
          <w:color w:val="000000"/>
        </w:rPr>
        <w:t>2015 Omnibus Incentive Plan</w:t>
      </w:r>
      <w:r>
        <w:rPr>
          <w:rFonts w:ascii="Times New Roman" w:cs="Times New Roman" w:eastAsia="Times New Roman" w:hAnsi="Times New Roman"/>
          <w:sz w:val="15"/>
          <w:szCs w:val="15"/>
          <w:color w:val="333333"/>
        </w:rPr>
        <w:t>,</w:t>
      </w:r>
    </w:p>
    <w:p>
      <w:pPr>
        <w:spacing w:after="0" w:line="23" w:lineRule="exact"/>
        <w:rPr>
          <w:rFonts w:ascii="Times New Roman" w:cs="Times New Roman" w:eastAsia="Times New Roman" w:hAnsi="Times New Roman"/>
          <w:sz w:val="15"/>
          <w:szCs w:val="15"/>
          <w:color w:val="auto"/>
        </w:rPr>
      </w:pPr>
    </w:p>
    <w:p>
      <w:pPr>
        <w:ind w:left="620" w:hanging="307"/>
        <w:spacing w:after="0" w:line="242" w:lineRule="auto"/>
        <w:tabs>
          <w:tab w:leader="none" w:pos="620"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333333"/>
        </w:rPr>
        <w:t xml:space="preserve">Registration Statement (Form S-8 No. 333-260831) pertaining to the </w:t>
      </w:r>
      <w:r>
        <w:rPr>
          <w:rFonts w:ascii="Times New Roman" w:cs="Times New Roman" w:eastAsia="Times New Roman" w:hAnsi="Times New Roman"/>
          <w:sz w:val="15"/>
          <w:szCs w:val="15"/>
          <w:color w:val="000000"/>
        </w:rPr>
        <w:t>Surgery Partners, Inc. 2015 Omnibus Incentive Plan, as amended and restated effective January 1,</w:t>
      </w:r>
      <w:r>
        <w:rPr>
          <w:rFonts w:ascii="Times New Roman" w:cs="Times New Roman" w:eastAsia="Times New Roman" w:hAnsi="Times New Roman"/>
          <w:sz w:val="15"/>
          <w:szCs w:val="15"/>
          <w:color w:val="333333"/>
        </w:rPr>
        <w:t xml:space="preserve"> </w:t>
      </w:r>
      <w:r>
        <w:rPr>
          <w:rFonts w:ascii="Times New Roman" w:cs="Times New Roman" w:eastAsia="Times New Roman" w:hAnsi="Times New Roman"/>
          <w:sz w:val="15"/>
          <w:szCs w:val="15"/>
          <w:color w:val="000000"/>
        </w:rPr>
        <w:t>2020, and</w:t>
      </w:r>
    </w:p>
    <w:p>
      <w:pPr>
        <w:ind w:left="620" w:hanging="307"/>
        <w:spacing w:after="0"/>
        <w:tabs>
          <w:tab w:leader="none" w:pos="620"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333333"/>
        </w:rPr>
        <w:t>Registration Statement (Form S-8 No. 333-287927) pertaining to the Surgery Partners, Inc. 2025 Omnibus Incentive Plan;</w:t>
      </w:r>
    </w:p>
    <w:p>
      <w:pPr>
        <w:spacing w:after="0" w:line="211"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5"/>
          <w:szCs w:val="15"/>
          <w:color w:val="333333"/>
        </w:rPr>
        <w:t>of our reports dated March 2, 2026, with respect to the consolidated financial statements of Surgery Partners, Inc. and the effectiveness of internal control over financial reporting of Surgery Partners, Inc. included in this Annual Report (Form 10-K) of Surgery Partners, Inc. for the year ended December 31, 2025.</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 Ernst &amp; Young LLP</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Nashville, Tennessee</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333333"/>
        </w:rPr>
        <w:t>March 2, 2026</w:t>
      </w:r>
    </w:p>
    <w:p>
      <w:pPr>
        <w:sectPr>
          <w:pgSz w:w="11900" w:h="16838" w:orient="portrait"/>
          <w:cols w:equalWidth="0" w:num="1">
            <w:col w:w="11240"/>
          </w:cols>
          <w:pgMar w:left="320" w:top="1013" w:right="339" w:bottom="1440" w:gutter="0" w:footer="0" w:header="0"/>
        </w:sectPr>
      </w:pPr>
    </w:p>
    <w:bookmarkStart w:id="100" w:name="page101"/>
    <w:bookmarkEnd w:id="100"/>
    <w:p>
      <w:pPr>
        <w:jc w:val="right"/>
        <w:spacing w:after="0"/>
        <w:rPr>
          <w:sz w:val="20"/>
          <w:szCs w:val="20"/>
          <w:color w:val="auto"/>
        </w:rPr>
      </w:pPr>
      <w:r>
        <w:rPr>
          <w:rFonts w:ascii="Times New Roman" w:cs="Times New Roman" w:eastAsia="Times New Roman" w:hAnsi="Times New Roman"/>
          <w:sz w:val="15"/>
          <w:szCs w:val="15"/>
          <w:b w:val="1"/>
          <w:bCs w:val="1"/>
          <w:color w:val="auto"/>
        </w:rPr>
        <w:t>Exhibit 31.1</w:t>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CERTIFICATIONS</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 J. Eric Evans, certify that:</w:t>
      </w:r>
    </w:p>
    <w:p>
      <w:pPr>
        <w:spacing w:after="0" w:line="253" w:lineRule="exact"/>
        <w:rPr>
          <w:sz w:val="20"/>
          <w:szCs w:val="20"/>
          <w:color w:val="auto"/>
        </w:rPr>
      </w:pPr>
    </w:p>
    <w:p>
      <w:pPr>
        <w:ind w:left="320" w:hanging="317"/>
        <w:spacing w:after="0"/>
        <w:tabs>
          <w:tab w:leader="none" w:pos="320"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 have reviewed this annual report on Form 10-K of Surgery Partners, Inc.;</w:t>
      </w:r>
    </w:p>
    <w:p>
      <w:pPr>
        <w:spacing w:after="0" w:line="240" w:lineRule="exact"/>
        <w:rPr>
          <w:rFonts w:ascii="Times New Roman" w:cs="Times New Roman" w:eastAsia="Times New Roman" w:hAnsi="Times New Roman"/>
          <w:sz w:val="15"/>
          <w:szCs w:val="15"/>
          <w:color w:val="auto"/>
        </w:rPr>
      </w:pPr>
    </w:p>
    <w:p>
      <w:pPr>
        <w:ind w:left="320" w:hanging="317"/>
        <w:spacing w:after="0" w:line="307" w:lineRule="auto"/>
        <w:tabs>
          <w:tab w:leader="none" w:pos="343"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4" w:lineRule="exact"/>
        <w:rPr>
          <w:rFonts w:ascii="Times New Roman" w:cs="Times New Roman" w:eastAsia="Times New Roman" w:hAnsi="Times New Roman"/>
          <w:sz w:val="15"/>
          <w:szCs w:val="15"/>
          <w:color w:val="auto"/>
        </w:rPr>
      </w:pPr>
    </w:p>
    <w:p>
      <w:pPr>
        <w:ind w:left="320" w:hanging="317"/>
        <w:spacing w:after="0" w:line="289" w:lineRule="auto"/>
        <w:tabs>
          <w:tab w:leader="none" w:pos="326"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0" w:lineRule="exact"/>
        <w:rPr>
          <w:rFonts w:ascii="Times New Roman" w:cs="Times New Roman" w:eastAsia="Times New Roman" w:hAnsi="Times New Roman"/>
          <w:sz w:val="15"/>
          <w:szCs w:val="15"/>
          <w:color w:val="auto"/>
        </w:rPr>
      </w:pPr>
    </w:p>
    <w:p>
      <w:pPr>
        <w:ind w:left="320" w:hanging="317"/>
        <w:spacing w:after="0" w:line="289" w:lineRule="auto"/>
        <w:tabs>
          <w:tab w:leader="none" w:pos="347"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0" w:lineRule="exact"/>
        <w:rPr>
          <w:rFonts w:ascii="Times New Roman" w:cs="Times New Roman" w:eastAsia="Times New Roman" w:hAnsi="Times New Roman"/>
          <w:sz w:val="15"/>
          <w:szCs w:val="15"/>
          <w:color w:val="auto"/>
        </w:rPr>
      </w:pPr>
    </w:p>
    <w:p>
      <w:pPr>
        <w:jc w:val="both"/>
        <w:ind w:left="620" w:hanging="307"/>
        <w:spacing w:after="0" w:line="270" w:lineRule="auto"/>
        <w:tabs>
          <w:tab w:leader="none" w:pos="774" w:val="left"/>
        </w:tabs>
        <w:numPr>
          <w:ilvl w:val="1"/>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9" w:lineRule="exact"/>
        <w:rPr>
          <w:rFonts w:ascii="Times New Roman" w:cs="Times New Roman" w:eastAsia="Times New Roman" w:hAnsi="Times New Roman"/>
          <w:sz w:val="15"/>
          <w:szCs w:val="15"/>
          <w:color w:val="auto"/>
        </w:rPr>
      </w:pPr>
    </w:p>
    <w:p>
      <w:pPr>
        <w:jc w:val="both"/>
        <w:ind w:left="620" w:hanging="307"/>
        <w:spacing w:after="0" w:line="279" w:lineRule="auto"/>
        <w:tabs>
          <w:tab w:leader="none" w:pos="753" w:val="left"/>
        </w:tabs>
        <w:numPr>
          <w:ilvl w:val="1"/>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3" w:lineRule="exact"/>
        <w:rPr>
          <w:rFonts w:ascii="Times New Roman" w:cs="Times New Roman" w:eastAsia="Times New Roman" w:hAnsi="Times New Roman"/>
          <w:sz w:val="15"/>
          <w:szCs w:val="15"/>
          <w:color w:val="auto"/>
        </w:rPr>
      </w:pPr>
    </w:p>
    <w:p>
      <w:pPr>
        <w:ind w:left="620" w:hanging="307"/>
        <w:spacing w:after="0" w:line="307" w:lineRule="auto"/>
        <w:tabs>
          <w:tab w:leader="none" w:pos="694" w:val="left"/>
        </w:tabs>
        <w:numPr>
          <w:ilvl w:val="1"/>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2" w:lineRule="exact"/>
        <w:rPr>
          <w:rFonts w:ascii="Times New Roman" w:cs="Times New Roman" w:eastAsia="Times New Roman" w:hAnsi="Times New Roman"/>
          <w:sz w:val="15"/>
          <w:szCs w:val="15"/>
          <w:color w:val="auto"/>
        </w:rPr>
      </w:pPr>
    </w:p>
    <w:p>
      <w:pPr>
        <w:jc w:val="both"/>
        <w:ind w:left="620" w:hanging="307"/>
        <w:spacing w:after="0" w:line="270" w:lineRule="auto"/>
        <w:tabs>
          <w:tab w:leader="none" w:pos="804" w:val="left"/>
        </w:tabs>
        <w:numPr>
          <w:ilvl w:val="1"/>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4" w:lineRule="exact"/>
        <w:rPr>
          <w:rFonts w:ascii="Times New Roman" w:cs="Times New Roman" w:eastAsia="Times New Roman" w:hAnsi="Times New Roman"/>
          <w:sz w:val="15"/>
          <w:szCs w:val="15"/>
          <w:color w:val="auto"/>
        </w:rPr>
      </w:pPr>
    </w:p>
    <w:p>
      <w:pPr>
        <w:ind w:left="320" w:hanging="317"/>
        <w:spacing w:after="0" w:line="289" w:lineRule="auto"/>
        <w:tabs>
          <w:tab w:leader="none" w:pos="336"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0" w:lineRule="exact"/>
        <w:rPr>
          <w:rFonts w:ascii="Times New Roman" w:cs="Times New Roman" w:eastAsia="Times New Roman" w:hAnsi="Times New Roman"/>
          <w:sz w:val="15"/>
          <w:szCs w:val="15"/>
          <w:color w:val="auto"/>
        </w:rPr>
      </w:pPr>
    </w:p>
    <w:p>
      <w:pPr>
        <w:ind w:left="620" w:hanging="307"/>
        <w:spacing w:after="0" w:line="289" w:lineRule="auto"/>
        <w:tabs>
          <w:tab w:leader="none" w:pos="692" w:val="left"/>
        </w:tabs>
        <w:numPr>
          <w:ilvl w:val="1"/>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Times New Roman" w:cs="Times New Roman" w:eastAsia="Times New Roman" w:hAnsi="Times New Roman"/>
          <w:sz w:val="15"/>
          <w:szCs w:val="15"/>
          <w:color w:val="auto"/>
        </w:rPr>
      </w:pPr>
    </w:p>
    <w:p>
      <w:pPr>
        <w:ind w:left="680" w:hanging="367"/>
        <w:spacing w:after="0"/>
        <w:tabs>
          <w:tab w:leader="none" w:pos="680" w:val="left"/>
        </w:tabs>
        <w:numPr>
          <w:ilvl w:val="1"/>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3" w:lineRule="exact"/>
        <w:rPr>
          <w:sz w:val="20"/>
          <w:szCs w:val="20"/>
          <w:color w:val="auto"/>
        </w:rPr>
      </w:pPr>
    </w:p>
    <w:tbl>
      <w:tblPr>
        <w:tblLayout w:type="fixed"/>
        <w:tblInd w:w="320" w:type="dxa"/>
        <w:tblCellMar>
          <w:top w:w="0" w:type="dxa"/>
          <w:left w:w="0" w:type="dxa"/>
          <w:bottom w:w="0" w:type="dxa"/>
          <w:right w:w="0" w:type="dxa"/>
        </w:tblCellMar>
      </w:tblPr>
      <w:tr>
        <w:trPr>
          <w:trHeight w:val="172"/>
        </w:trPr>
        <w:tc>
          <w:tcPr>
            <w:tcW w:w="480" w:type="dxa"/>
            <w:vAlign w:val="bottom"/>
          </w:tcPr>
          <w:p>
            <w:pPr>
              <w:spacing w:after="0"/>
              <w:rPr>
                <w:sz w:val="20"/>
                <w:szCs w:val="20"/>
                <w:color w:val="auto"/>
              </w:rPr>
            </w:pPr>
            <w:r>
              <w:rPr>
                <w:rFonts w:ascii="Times New Roman" w:cs="Times New Roman" w:eastAsia="Times New Roman" w:hAnsi="Times New Roman"/>
                <w:sz w:val="15"/>
                <w:szCs w:val="15"/>
                <w:color w:val="auto"/>
              </w:rPr>
              <w:t>By:</w:t>
            </w:r>
          </w:p>
        </w:tc>
        <w:tc>
          <w:tcPr>
            <w:tcW w:w="14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 J. Eric Evans</w:t>
            </w:r>
          </w:p>
        </w:tc>
      </w:tr>
      <w:tr>
        <w:trPr>
          <w:trHeight w:val="122"/>
        </w:trPr>
        <w:tc>
          <w:tcPr>
            <w:tcW w:w="480" w:type="dxa"/>
            <w:vAlign w:val="bottom"/>
          </w:tcPr>
          <w:p>
            <w:pPr>
              <w:spacing w:after="0"/>
              <w:rPr>
                <w:sz w:val="10"/>
                <w:szCs w:val="10"/>
                <w:color w:val="auto"/>
              </w:rPr>
            </w:pPr>
          </w:p>
        </w:tc>
        <w:tc>
          <w:tcPr>
            <w:tcW w:w="1000" w:type="dxa"/>
            <w:vAlign w:val="bottom"/>
            <w:tcBorders>
              <w:top w:val="single" w:sz="8" w:color="auto"/>
            </w:tcBorders>
          </w:tcPr>
          <w:p>
            <w:pPr>
              <w:spacing w:after="0" w:line="122" w:lineRule="exact"/>
              <w:rPr>
                <w:sz w:val="20"/>
                <w:szCs w:val="20"/>
                <w:color w:val="auto"/>
              </w:rPr>
            </w:pPr>
            <w:r>
              <w:rPr>
                <w:rFonts w:ascii="Times New Roman" w:cs="Times New Roman" w:eastAsia="Times New Roman" w:hAnsi="Times New Roman"/>
                <w:sz w:val="14"/>
                <w:szCs w:val="14"/>
                <w:color w:val="auto"/>
              </w:rPr>
              <w:t>J. Eric Evans</w:t>
            </w:r>
          </w:p>
        </w:tc>
        <w:tc>
          <w:tcPr>
            <w:tcW w:w="460" w:type="dxa"/>
            <w:vAlign w:val="bottom"/>
          </w:tcPr>
          <w:p>
            <w:pPr>
              <w:spacing w:after="0"/>
              <w:rPr>
                <w:sz w:val="10"/>
                <w:szCs w:val="10"/>
                <w:color w:val="auto"/>
              </w:rPr>
            </w:pPr>
          </w:p>
        </w:tc>
      </w:tr>
      <w:tr>
        <w:trPr>
          <w:trHeight w:val="204"/>
        </w:trPr>
        <w:tc>
          <w:tcPr>
            <w:tcW w:w="480" w:type="dxa"/>
            <w:vAlign w:val="bottom"/>
          </w:tcPr>
          <w:p>
            <w:pPr>
              <w:spacing w:after="0"/>
              <w:rPr>
                <w:sz w:val="17"/>
                <w:szCs w:val="17"/>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15"/>
                <w:szCs w:val="15"/>
                <w:i w:val="1"/>
                <w:iCs w:val="1"/>
                <w:color w:val="auto"/>
              </w:rPr>
              <w:t>Chief Executive Officer</w:t>
            </w:r>
          </w:p>
        </w:tc>
      </w:tr>
    </w:tbl>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Date: </w:t>
      </w:r>
      <w:r>
        <w:rPr>
          <w:rFonts w:ascii="Times New Roman" w:cs="Times New Roman" w:eastAsia="Times New Roman" w:hAnsi="Times New Roman"/>
          <w:sz w:val="17"/>
          <w:szCs w:val="17"/>
          <w:color w:val="auto"/>
        </w:rPr>
        <w:t>March 2, 2026</w:t>
      </w:r>
    </w:p>
    <w:p>
      <w:pPr>
        <w:sectPr>
          <w:pgSz w:w="11900" w:h="16838" w:orient="portrait"/>
          <w:cols w:equalWidth="0" w:num="1">
            <w:col w:w="11240"/>
          </w:cols>
          <w:pgMar w:left="320" w:top="858" w:right="339" w:bottom="1440" w:gutter="0" w:footer="0" w:header="0"/>
        </w:sectPr>
      </w:pPr>
    </w:p>
    <w:bookmarkStart w:id="101" w:name="page102"/>
    <w:bookmarkEnd w:id="101"/>
    <w:p>
      <w:pPr>
        <w:jc w:val="right"/>
        <w:spacing w:after="0"/>
        <w:rPr>
          <w:sz w:val="20"/>
          <w:szCs w:val="20"/>
          <w:color w:val="auto"/>
        </w:rPr>
      </w:pPr>
      <w:r>
        <w:rPr>
          <w:rFonts w:ascii="Times New Roman" w:cs="Times New Roman" w:eastAsia="Times New Roman" w:hAnsi="Times New Roman"/>
          <w:sz w:val="15"/>
          <w:szCs w:val="15"/>
          <w:b w:val="1"/>
          <w:bCs w:val="1"/>
          <w:color w:val="auto"/>
        </w:rPr>
        <w:t>Exhibit 31.2</w:t>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CERTIFICATIONS</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 David T. Doherty, certify that:</w:t>
      </w:r>
    </w:p>
    <w:p>
      <w:pPr>
        <w:spacing w:after="0" w:line="253" w:lineRule="exact"/>
        <w:rPr>
          <w:sz w:val="20"/>
          <w:szCs w:val="20"/>
          <w:color w:val="auto"/>
        </w:rPr>
      </w:pPr>
    </w:p>
    <w:p>
      <w:pPr>
        <w:ind w:left="320" w:hanging="317"/>
        <w:spacing w:after="0"/>
        <w:tabs>
          <w:tab w:leader="none" w:pos="320" w:val="left"/>
        </w:tabs>
        <w:numPr>
          <w:ilvl w:val="0"/>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 have reviewed this annual report on Form 10-K of Surgery Partners, Inc.;</w:t>
      </w:r>
    </w:p>
    <w:p>
      <w:pPr>
        <w:spacing w:after="0" w:line="240" w:lineRule="exact"/>
        <w:rPr>
          <w:rFonts w:ascii="Times New Roman" w:cs="Times New Roman" w:eastAsia="Times New Roman" w:hAnsi="Times New Roman"/>
          <w:sz w:val="15"/>
          <w:szCs w:val="15"/>
          <w:color w:val="auto"/>
        </w:rPr>
      </w:pPr>
    </w:p>
    <w:p>
      <w:pPr>
        <w:ind w:left="320" w:hanging="317"/>
        <w:spacing w:after="0" w:line="307" w:lineRule="auto"/>
        <w:tabs>
          <w:tab w:leader="none" w:pos="343" w:val="left"/>
        </w:tabs>
        <w:numPr>
          <w:ilvl w:val="0"/>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4" w:lineRule="exact"/>
        <w:rPr>
          <w:rFonts w:ascii="Times New Roman" w:cs="Times New Roman" w:eastAsia="Times New Roman" w:hAnsi="Times New Roman"/>
          <w:sz w:val="15"/>
          <w:szCs w:val="15"/>
          <w:color w:val="auto"/>
        </w:rPr>
      </w:pPr>
    </w:p>
    <w:p>
      <w:pPr>
        <w:ind w:left="320" w:hanging="317"/>
        <w:spacing w:after="0" w:line="289" w:lineRule="auto"/>
        <w:tabs>
          <w:tab w:leader="none" w:pos="326" w:val="left"/>
        </w:tabs>
        <w:numPr>
          <w:ilvl w:val="0"/>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0" w:lineRule="exact"/>
        <w:rPr>
          <w:rFonts w:ascii="Times New Roman" w:cs="Times New Roman" w:eastAsia="Times New Roman" w:hAnsi="Times New Roman"/>
          <w:sz w:val="15"/>
          <w:szCs w:val="15"/>
          <w:color w:val="auto"/>
        </w:rPr>
      </w:pPr>
    </w:p>
    <w:p>
      <w:pPr>
        <w:ind w:left="320" w:hanging="317"/>
        <w:spacing w:after="0" w:line="289" w:lineRule="auto"/>
        <w:tabs>
          <w:tab w:leader="none" w:pos="347" w:val="left"/>
        </w:tabs>
        <w:numPr>
          <w:ilvl w:val="0"/>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0" w:lineRule="exact"/>
        <w:rPr>
          <w:rFonts w:ascii="Times New Roman" w:cs="Times New Roman" w:eastAsia="Times New Roman" w:hAnsi="Times New Roman"/>
          <w:sz w:val="15"/>
          <w:szCs w:val="15"/>
          <w:color w:val="auto"/>
        </w:rPr>
      </w:pPr>
    </w:p>
    <w:p>
      <w:pPr>
        <w:jc w:val="both"/>
        <w:ind w:left="620" w:hanging="307"/>
        <w:spacing w:after="0" w:line="270" w:lineRule="auto"/>
        <w:tabs>
          <w:tab w:leader="none" w:pos="774" w:val="left"/>
        </w:tabs>
        <w:numPr>
          <w:ilvl w:val="1"/>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9" w:lineRule="exact"/>
        <w:rPr>
          <w:rFonts w:ascii="Times New Roman" w:cs="Times New Roman" w:eastAsia="Times New Roman" w:hAnsi="Times New Roman"/>
          <w:sz w:val="15"/>
          <w:szCs w:val="15"/>
          <w:color w:val="auto"/>
        </w:rPr>
      </w:pPr>
    </w:p>
    <w:p>
      <w:pPr>
        <w:jc w:val="both"/>
        <w:ind w:left="620" w:hanging="307"/>
        <w:spacing w:after="0" w:line="279" w:lineRule="auto"/>
        <w:tabs>
          <w:tab w:leader="none" w:pos="753" w:val="left"/>
        </w:tabs>
        <w:numPr>
          <w:ilvl w:val="1"/>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3" w:lineRule="exact"/>
        <w:rPr>
          <w:rFonts w:ascii="Times New Roman" w:cs="Times New Roman" w:eastAsia="Times New Roman" w:hAnsi="Times New Roman"/>
          <w:sz w:val="15"/>
          <w:szCs w:val="15"/>
          <w:color w:val="auto"/>
        </w:rPr>
      </w:pPr>
    </w:p>
    <w:p>
      <w:pPr>
        <w:ind w:left="620" w:hanging="307"/>
        <w:spacing w:after="0" w:line="307" w:lineRule="auto"/>
        <w:tabs>
          <w:tab w:leader="none" w:pos="694" w:val="left"/>
        </w:tabs>
        <w:numPr>
          <w:ilvl w:val="1"/>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2" w:lineRule="exact"/>
        <w:rPr>
          <w:rFonts w:ascii="Times New Roman" w:cs="Times New Roman" w:eastAsia="Times New Roman" w:hAnsi="Times New Roman"/>
          <w:sz w:val="15"/>
          <w:szCs w:val="15"/>
          <w:color w:val="auto"/>
        </w:rPr>
      </w:pPr>
    </w:p>
    <w:p>
      <w:pPr>
        <w:jc w:val="both"/>
        <w:ind w:left="620" w:hanging="307"/>
        <w:spacing w:after="0" w:line="270" w:lineRule="auto"/>
        <w:tabs>
          <w:tab w:leader="none" w:pos="804" w:val="left"/>
        </w:tabs>
        <w:numPr>
          <w:ilvl w:val="1"/>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4" w:lineRule="exact"/>
        <w:rPr>
          <w:rFonts w:ascii="Times New Roman" w:cs="Times New Roman" w:eastAsia="Times New Roman" w:hAnsi="Times New Roman"/>
          <w:sz w:val="15"/>
          <w:szCs w:val="15"/>
          <w:color w:val="auto"/>
        </w:rPr>
      </w:pPr>
    </w:p>
    <w:p>
      <w:pPr>
        <w:ind w:left="320" w:hanging="317"/>
        <w:spacing w:after="0" w:line="289" w:lineRule="auto"/>
        <w:tabs>
          <w:tab w:leader="none" w:pos="336" w:val="left"/>
        </w:tabs>
        <w:numPr>
          <w:ilvl w:val="0"/>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0" w:lineRule="exact"/>
        <w:rPr>
          <w:rFonts w:ascii="Times New Roman" w:cs="Times New Roman" w:eastAsia="Times New Roman" w:hAnsi="Times New Roman"/>
          <w:sz w:val="15"/>
          <w:szCs w:val="15"/>
          <w:color w:val="auto"/>
        </w:rPr>
      </w:pPr>
    </w:p>
    <w:p>
      <w:pPr>
        <w:ind w:left="620" w:hanging="307"/>
        <w:spacing w:after="0" w:line="289" w:lineRule="auto"/>
        <w:tabs>
          <w:tab w:leader="none" w:pos="692" w:val="left"/>
        </w:tabs>
        <w:numPr>
          <w:ilvl w:val="1"/>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Times New Roman" w:cs="Times New Roman" w:eastAsia="Times New Roman" w:hAnsi="Times New Roman"/>
          <w:sz w:val="15"/>
          <w:szCs w:val="15"/>
          <w:color w:val="auto"/>
        </w:rPr>
      </w:pPr>
    </w:p>
    <w:p>
      <w:pPr>
        <w:ind w:left="680" w:hanging="367"/>
        <w:spacing w:after="0"/>
        <w:tabs>
          <w:tab w:leader="none" w:pos="680" w:val="left"/>
        </w:tabs>
        <w:numPr>
          <w:ilvl w:val="1"/>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3" w:lineRule="exact"/>
        <w:rPr>
          <w:sz w:val="20"/>
          <w:szCs w:val="20"/>
          <w:color w:val="auto"/>
        </w:rPr>
      </w:pPr>
    </w:p>
    <w:tbl>
      <w:tblPr>
        <w:tblLayout w:type="fixed"/>
        <w:tblInd w:w="320" w:type="dxa"/>
        <w:tblCellMar>
          <w:top w:w="0" w:type="dxa"/>
          <w:left w:w="0" w:type="dxa"/>
          <w:bottom w:w="0" w:type="dxa"/>
          <w:right w:w="0" w:type="dxa"/>
        </w:tblCellMar>
      </w:tblPr>
      <w:tr>
        <w:trPr>
          <w:trHeight w:val="172"/>
        </w:trPr>
        <w:tc>
          <w:tcPr>
            <w:tcW w:w="480" w:type="dxa"/>
            <w:vAlign w:val="bottom"/>
          </w:tcPr>
          <w:p>
            <w:pPr>
              <w:spacing w:after="0"/>
              <w:rPr>
                <w:sz w:val="20"/>
                <w:szCs w:val="20"/>
                <w:color w:val="auto"/>
              </w:rPr>
            </w:pPr>
            <w:r>
              <w:rPr>
                <w:rFonts w:ascii="Times New Roman" w:cs="Times New Roman" w:eastAsia="Times New Roman" w:hAnsi="Times New Roman"/>
                <w:sz w:val="15"/>
                <w:szCs w:val="15"/>
                <w:color w:val="auto"/>
              </w:rPr>
              <w:t>By:</w:t>
            </w:r>
          </w:p>
        </w:tc>
        <w:tc>
          <w:tcPr>
            <w:tcW w:w="33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 David T. Doherty</w:t>
            </w:r>
          </w:p>
        </w:tc>
      </w:tr>
      <w:tr>
        <w:trPr>
          <w:trHeight w:val="122"/>
        </w:trPr>
        <w:tc>
          <w:tcPr>
            <w:tcW w:w="480" w:type="dxa"/>
            <w:vAlign w:val="bottom"/>
          </w:tcPr>
          <w:p>
            <w:pPr>
              <w:spacing w:after="0"/>
              <w:rPr>
                <w:sz w:val="10"/>
                <w:szCs w:val="10"/>
                <w:color w:val="auto"/>
              </w:rPr>
            </w:pPr>
          </w:p>
        </w:tc>
        <w:tc>
          <w:tcPr>
            <w:tcW w:w="1280" w:type="dxa"/>
            <w:vAlign w:val="bottom"/>
            <w:tcBorders>
              <w:top w:val="single" w:sz="8" w:color="auto"/>
            </w:tcBorders>
          </w:tcPr>
          <w:p>
            <w:pPr>
              <w:spacing w:after="0" w:line="122" w:lineRule="exact"/>
              <w:rPr>
                <w:sz w:val="20"/>
                <w:szCs w:val="20"/>
                <w:color w:val="auto"/>
              </w:rPr>
            </w:pPr>
            <w:r>
              <w:rPr>
                <w:rFonts w:ascii="Times New Roman" w:cs="Times New Roman" w:eastAsia="Times New Roman" w:hAnsi="Times New Roman"/>
                <w:sz w:val="14"/>
                <w:szCs w:val="14"/>
                <w:color w:val="auto"/>
              </w:rPr>
              <w:t>David T. Doherty</w:t>
            </w:r>
          </w:p>
        </w:tc>
        <w:tc>
          <w:tcPr>
            <w:tcW w:w="2020" w:type="dxa"/>
            <w:vAlign w:val="bottom"/>
          </w:tcPr>
          <w:p>
            <w:pPr>
              <w:spacing w:after="0"/>
              <w:rPr>
                <w:sz w:val="10"/>
                <w:szCs w:val="10"/>
                <w:color w:val="auto"/>
              </w:rPr>
            </w:pPr>
          </w:p>
        </w:tc>
      </w:tr>
      <w:tr>
        <w:trPr>
          <w:trHeight w:val="204"/>
        </w:trPr>
        <w:tc>
          <w:tcPr>
            <w:tcW w:w="480" w:type="dxa"/>
            <w:vAlign w:val="bottom"/>
          </w:tcPr>
          <w:p>
            <w:pPr>
              <w:spacing w:after="0"/>
              <w:rPr>
                <w:sz w:val="17"/>
                <w:szCs w:val="17"/>
                <w:color w:val="auto"/>
              </w:rPr>
            </w:pPr>
          </w:p>
        </w:tc>
        <w:tc>
          <w:tcPr>
            <w:tcW w:w="3300" w:type="dxa"/>
            <w:vAlign w:val="bottom"/>
            <w:gridSpan w:val="2"/>
          </w:tcPr>
          <w:p>
            <w:pPr>
              <w:spacing w:after="0"/>
              <w:rPr>
                <w:sz w:val="20"/>
                <w:szCs w:val="20"/>
                <w:color w:val="auto"/>
              </w:rPr>
            </w:pPr>
            <w:r>
              <w:rPr>
                <w:rFonts w:ascii="Times New Roman" w:cs="Times New Roman" w:eastAsia="Times New Roman" w:hAnsi="Times New Roman"/>
                <w:sz w:val="15"/>
                <w:szCs w:val="15"/>
                <w:i w:val="1"/>
                <w:iCs w:val="1"/>
                <w:color w:val="auto"/>
              </w:rPr>
              <w:t>Executive Vice President and Chief Financial Officer</w:t>
            </w:r>
          </w:p>
        </w:tc>
      </w:tr>
    </w:tbl>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Date: </w:t>
      </w:r>
      <w:r>
        <w:rPr>
          <w:rFonts w:ascii="Times New Roman" w:cs="Times New Roman" w:eastAsia="Times New Roman" w:hAnsi="Times New Roman"/>
          <w:sz w:val="17"/>
          <w:szCs w:val="17"/>
          <w:color w:val="auto"/>
        </w:rPr>
        <w:t>March 2, 2026</w:t>
      </w:r>
    </w:p>
    <w:p>
      <w:pPr>
        <w:sectPr>
          <w:pgSz w:w="11900" w:h="16838" w:orient="portrait"/>
          <w:cols w:equalWidth="0" w:num="1">
            <w:col w:w="11240"/>
          </w:cols>
          <w:pgMar w:left="320" w:top="858" w:right="339" w:bottom="1440" w:gutter="0" w:footer="0" w:header="0"/>
        </w:sectPr>
      </w:pPr>
    </w:p>
    <w:bookmarkStart w:id="102" w:name="page103"/>
    <w:bookmarkEnd w:id="102"/>
    <w:p>
      <w:pPr>
        <w:jc w:val="right"/>
        <w:spacing w:after="0"/>
        <w:rPr>
          <w:sz w:val="20"/>
          <w:szCs w:val="20"/>
          <w:color w:val="auto"/>
        </w:rPr>
      </w:pPr>
      <w:r>
        <w:rPr>
          <w:rFonts w:ascii="Times New Roman" w:cs="Times New Roman" w:eastAsia="Times New Roman" w:hAnsi="Times New Roman"/>
          <w:sz w:val="15"/>
          <w:szCs w:val="15"/>
          <w:b w:val="1"/>
          <w:bCs w:val="1"/>
          <w:color w:val="auto"/>
        </w:rPr>
        <w:t>Exhibit 32.1</w:t>
      </w:r>
    </w:p>
    <w:p>
      <w:pPr>
        <w:spacing w:after="0" w:line="28"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5"/>
          <w:szCs w:val="15"/>
          <w:b w:val="1"/>
          <w:bCs w:val="1"/>
          <w:color w:val="auto"/>
        </w:rPr>
        <w:t>CERTIFICATION PURSUANT TO</w:t>
      </w:r>
    </w:p>
    <w:p>
      <w:pPr>
        <w:spacing w:after="0" w:line="11"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5"/>
          <w:szCs w:val="15"/>
          <w:b w:val="1"/>
          <w:bCs w:val="1"/>
          <w:color w:val="auto"/>
        </w:rPr>
        <w:t>18 U.S.C. SECTION 1350,</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AS ADOPTED PURSUANT TO</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SECTION 906 OF THE SARBANES-OXLEY ACT OF 2002</w:t>
      </w:r>
    </w:p>
    <w:p>
      <w:pPr>
        <w:spacing w:after="0" w:line="229" w:lineRule="exact"/>
        <w:rPr>
          <w:sz w:val="20"/>
          <w:szCs w:val="20"/>
          <w:color w:val="auto"/>
        </w:rPr>
      </w:pPr>
    </w:p>
    <w:p>
      <w:pPr>
        <w:jc w:val="both"/>
        <w:ind w:firstLine="309"/>
        <w:spacing w:after="0" w:line="272" w:lineRule="auto"/>
        <w:rPr>
          <w:sz w:val="20"/>
          <w:szCs w:val="20"/>
          <w:color w:val="auto"/>
        </w:rPr>
      </w:pPr>
      <w:r>
        <w:rPr>
          <w:rFonts w:ascii="Times New Roman" w:cs="Times New Roman" w:eastAsia="Times New Roman" w:hAnsi="Times New Roman"/>
          <w:sz w:val="15"/>
          <w:szCs w:val="15"/>
          <w:color w:val="auto"/>
        </w:rPr>
        <w:t xml:space="preserve">In connection with the Annual Report of Surgery Partners, Inc. (the “Company”) on Form 10-K for the year ended </w:t>
      </w:r>
      <w:r>
        <w:rPr>
          <w:rFonts w:ascii="Times New Roman" w:cs="Times New Roman" w:eastAsia="Times New Roman" w:hAnsi="Times New Roman"/>
          <w:sz w:val="17"/>
          <w:szCs w:val="17"/>
          <w:color w:val="auto"/>
        </w:rPr>
        <w:t>December 31, 2025</w:t>
      </w:r>
      <w:r>
        <w:rPr>
          <w:rFonts w:ascii="Times New Roman" w:cs="Times New Roman" w:eastAsia="Times New Roman" w:hAnsi="Times New Roman"/>
          <w:sz w:val="15"/>
          <w:szCs w:val="15"/>
          <w:color w:val="auto"/>
        </w:rPr>
        <w:t>, as filed with the Securities and Exchange Commission on the date hereof (the “Report”), each of the undersigned certifies, pursuant to 18 U.S.C. Sec. 1350, as adopted pursuant to Section 906 of the Sarbanes-Oxley Act of 2002, that:</w:t>
      </w:r>
    </w:p>
    <w:p>
      <w:pPr>
        <w:spacing w:after="0" w:line="204" w:lineRule="exact"/>
        <w:rPr>
          <w:sz w:val="20"/>
          <w:szCs w:val="20"/>
          <w:color w:val="auto"/>
        </w:rPr>
      </w:pPr>
    </w:p>
    <w:p>
      <w:pPr>
        <w:ind w:left="640" w:hanging="327"/>
        <w:spacing w:after="0"/>
        <w:tabs>
          <w:tab w:leader="none" w:pos="640" w:val="left"/>
        </w:tabs>
        <w:numPr>
          <w:ilvl w:val="0"/>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Report fully complies with the requirements of Sections 13(a) or 15(d) of the Securities Exchange Act of 1934; and</w:t>
      </w:r>
    </w:p>
    <w:p>
      <w:pPr>
        <w:spacing w:after="0" w:line="240" w:lineRule="exact"/>
        <w:rPr>
          <w:rFonts w:ascii="Times New Roman" w:cs="Times New Roman" w:eastAsia="Times New Roman" w:hAnsi="Times New Roman"/>
          <w:sz w:val="15"/>
          <w:szCs w:val="15"/>
          <w:color w:val="auto"/>
        </w:rPr>
      </w:pPr>
    </w:p>
    <w:p>
      <w:pPr>
        <w:ind w:left="620" w:hanging="307"/>
        <w:spacing w:after="0" w:line="307" w:lineRule="auto"/>
        <w:tabs>
          <w:tab w:leader="none" w:pos="654" w:val="left"/>
        </w:tabs>
        <w:numPr>
          <w:ilvl w:val="0"/>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information contained in the Report fairly presents, in all material respects, the financial condition and results of operations of the Company for the periods presented therein.</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By:</w:t>
            </w:r>
          </w:p>
        </w:tc>
        <w:tc>
          <w:tcPr>
            <w:tcW w:w="328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/s/ J. Eric Evans</w:t>
            </w:r>
          </w:p>
        </w:tc>
      </w:tr>
      <w:tr>
        <w:trPr>
          <w:trHeight w:val="122"/>
        </w:trPr>
        <w:tc>
          <w:tcPr>
            <w:tcW w:w="500" w:type="dxa"/>
            <w:vAlign w:val="bottom"/>
          </w:tcPr>
          <w:p>
            <w:pPr>
              <w:spacing w:after="0"/>
              <w:rPr>
                <w:sz w:val="10"/>
                <w:szCs w:val="10"/>
                <w:color w:val="auto"/>
              </w:rPr>
            </w:pPr>
          </w:p>
        </w:tc>
        <w:tc>
          <w:tcPr>
            <w:tcW w:w="1000" w:type="dxa"/>
            <w:vAlign w:val="bottom"/>
            <w:tcBorders>
              <w:top w:val="single" w:sz="8" w:color="auto"/>
            </w:tcBorders>
          </w:tcPr>
          <w:p>
            <w:pPr>
              <w:spacing w:after="0" w:line="122" w:lineRule="exact"/>
              <w:rPr>
                <w:sz w:val="20"/>
                <w:szCs w:val="20"/>
                <w:color w:val="auto"/>
              </w:rPr>
            </w:pPr>
            <w:r>
              <w:rPr>
                <w:rFonts w:ascii="Times New Roman" w:cs="Times New Roman" w:eastAsia="Times New Roman" w:hAnsi="Times New Roman"/>
                <w:sz w:val="14"/>
                <w:szCs w:val="14"/>
                <w:color w:val="auto"/>
              </w:rPr>
              <w:t>J. Eric Evans</w:t>
            </w:r>
          </w:p>
        </w:tc>
        <w:tc>
          <w:tcPr>
            <w:tcW w:w="260" w:type="dxa"/>
            <w:vAlign w:val="bottom"/>
          </w:tcPr>
          <w:p>
            <w:pPr>
              <w:spacing w:after="0"/>
              <w:rPr>
                <w:sz w:val="10"/>
                <w:szCs w:val="10"/>
                <w:color w:val="auto"/>
              </w:rPr>
            </w:pPr>
          </w:p>
        </w:tc>
        <w:tc>
          <w:tcPr>
            <w:tcW w:w="2020" w:type="dxa"/>
            <w:vAlign w:val="bottom"/>
          </w:tcPr>
          <w:p>
            <w:pPr>
              <w:spacing w:after="0"/>
              <w:rPr>
                <w:sz w:val="10"/>
                <w:szCs w:val="10"/>
                <w:color w:val="auto"/>
              </w:rPr>
            </w:pPr>
          </w:p>
        </w:tc>
      </w:tr>
      <w:tr>
        <w:trPr>
          <w:trHeight w:val="204"/>
        </w:trPr>
        <w:tc>
          <w:tcPr>
            <w:tcW w:w="500" w:type="dxa"/>
            <w:vAlign w:val="bottom"/>
          </w:tcPr>
          <w:p>
            <w:pPr>
              <w:spacing w:after="0"/>
              <w:rPr>
                <w:sz w:val="17"/>
                <w:szCs w:val="17"/>
                <w:color w:val="auto"/>
              </w:rPr>
            </w:pPr>
          </w:p>
        </w:tc>
        <w:tc>
          <w:tcPr>
            <w:tcW w:w="3280" w:type="dxa"/>
            <w:vAlign w:val="bottom"/>
            <w:gridSpan w:val="3"/>
          </w:tcPr>
          <w:p>
            <w:pPr>
              <w:spacing w:after="0"/>
              <w:rPr>
                <w:sz w:val="20"/>
                <w:szCs w:val="20"/>
                <w:color w:val="auto"/>
              </w:rPr>
            </w:pPr>
            <w:r>
              <w:rPr>
                <w:rFonts w:ascii="Times New Roman" w:cs="Times New Roman" w:eastAsia="Times New Roman" w:hAnsi="Times New Roman"/>
                <w:sz w:val="15"/>
                <w:szCs w:val="15"/>
                <w:i w:val="1"/>
                <w:iCs w:val="1"/>
                <w:color w:val="auto"/>
              </w:rPr>
              <w:t>Chief Executive Officer</w:t>
            </w:r>
          </w:p>
        </w:tc>
      </w:tr>
      <w:tr>
        <w:trPr>
          <w:trHeight w:val="338"/>
        </w:trPr>
        <w:tc>
          <w:tcPr>
            <w:tcW w:w="3780" w:type="dxa"/>
            <w:vAlign w:val="bottom"/>
            <w:gridSpan w:val="4"/>
          </w:tcPr>
          <w:p>
            <w:pPr>
              <w:spacing w:after="0"/>
              <w:rPr>
                <w:sz w:val="20"/>
                <w:szCs w:val="20"/>
                <w:color w:val="auto"/>
              </w:rPr>
            </w:pPr>
            <w:r>
              <w:rPr>
                <w:rFonts w:ascii="Times New Roman" w:cs="Times New Roman" w:eastAsia="Times New Roman" w:hAnsi="Times New Roman"/>
                <w:sz w:val="15"/>
                <w:szCs w:val="15"/>
                <w:color w:val="auto"/>
              </w:rPr>
              <w:t xml:space="preserve">Date: </w:t>
            </w:r>
            <w:r>
              <w:rPr>
                <w:rFonts w:ascii="Times New Roman" w:cs="Times New Roman" w:eastAsia="Times New Roman" w:hAnsi="Times New Roman"/>
                <w:sz w:val="17"/>
                <w:szCs w:val="17"/>
                <w:color w:val="auto"/>
              </w:rPr>
              <w:t>March 2, 2026</w:t>
            </w:r>
          </w:p>
        </w:tc>
      </w:tr>
      <w:tr>
        <w:trPr>
          <w:trHeight w:val="322"/>
        </w:trPr>
        <w:tc>
          <w:tcPr>
            <w:tcW w:w="5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By:</w:t>
            </w:r>
          </w:p>
        </w:tc>
        <w:tc>
          <w:tcPr>
            <w:tcW w:w="328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/s/ David T. Doherty</w:t>
            </w:r>
          </w:p>
        </w:tc>
      </w:tr>
      <w:tr>
        <w:trPr>
          <w:trHeight w:val="122"/>
        </w:trPr>
        <w:tc>
          <w:tcPr>
            <w:tcW w:w="500" w:type="dxa"/>
            <w:vAlign w:val="bottom"/>
          </w:tcPr>
          <w:p>
            <w:pPr>
              <w:spacing w:after="0"/>
              <w:rPr>
                <w:sz w:val="10"/>
                <w:szCs w:val="10"/>
                <w:color w:val="auto"/>
              </w:rPr>
            </w:pPr>
          </w:p>
        </w:tc>
        <w:tc>
          <w:tcPr>
            <w:tcW w:w="1260" w:type="dxa"/>
            <w:vAlign w:val="bottom"/>
            <w:tcBorders>
              <w:top w:val="single" w:sz="8" w:color="auto"/>
            </w:tcBorders>
            <w:gridSpan w:val="2"/>
          </w:tcPr>
          <w:p>
            <w:pPr>
              <w:spacing w:after="0" w:line="122" w:lineRule="exact"/>
              <w:rPr>
                <w:sz w:val="20"/>
                <w:szCs w:val="20"/>
                <w:color w:val="auto"/>
              </w:rPr>
            </w:pPr>
            <w:r>
              <w:rPr>
                <w:rFonts w:ascii="Times New Roman" w:cs="Times New Roman" w:eastAsia="Times New Roman" w:hAnsi="Times New Roman"/>
                <w:sz w:val="14"/>
                <w:szCs w:val="14"/>
                <w:color w:val="auto"/>
              </w:rPr>
              <w:t>David T. Doherty</w:t>
            </w:r>
          </w:p>
        </w:tc>
        <w:tc>
          <w:tcPr>
            <w:tcW w:w="2020" w:type="dxa"/>
            <w:vAlign w:val="bottom"/>
          </w:tcPr>
          <w:p>
            <w:pPr>
              <w:spacing w:after="0"/>
              <w:rPr>
                <w:sz w:val="10"/>
                <w:szCs w:val="10"/>
                <w:color w:val="auto"/>
              </w:rPr>
            </w:pPr>
          </w:p>
        </w:tc>
      </w:tr>
      <w:tr>
        <w:trPr>
          <w:trHeight w:val="204"/>
        </w:trPr>
        <w:tc>
          <w:tcPr>
            <w:tcW w:w="500" w:type="dxa"/>
            <w:vAlign w:val="bottom"/>
          </w:tcPr>
          <w:p>
            <w:pPr>
              <w:spacing w:after="0"/>
              <w:rPr>
                <w:sz w:val="17"/>
                <w:szCs w:val="17"/>
                <w:color w:val="auto"/>
              </w:rPr>
            </w:pPr>
          </w:p>
        </w:tc>
        <w:tc>
          <w:tcPr>
            <w:tcW w:w="3280" w:type="dxa"/>
            <w:vAlign w:val="bottom"/>
            <w:gridSpan w:val="3"/>
          </w:tcPr>
          <w:p>
            <w:pPr>
              <w:spacing w:after="0"/>
              <w:rPr>
                <w:sz w:val="20"/>
                <w:szCs w:val="20"/>
                <w:color w:val="auto"/>
              </w:rPr>
            </w:pPr>
            <w:r>
              <w:rPr>
                <w:rFonts w:ascii="Times New Roman" w:cs="Times New Roman" w:eastAsia="Times New Roman" w:hAnsi="Times New Roman"/>
                <w:sz w:val="15"/>
                <w:szCs w:val="15"/>
                <w:i w:val="1"/>
                <w:iCs w:val="1"/>
                <w:color w:val="auto"/>
              </w:rPr>
              <w:t>Executive Vice President and Chief Financial Officer</w:t>
            </w:r>
          </w:p>
        </w:tc>
      </w:tr>
    </w:tbl>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Date: </w:t>
      </w:r>
      <w:r>
        <w:rPr>
          <w:rFonts w:ascii="Times New Roman" w:cs="Times New Roman" w:eastAsia="Times New Roman" w:hAnsi="Times New Roman"/>
          <w:sz w:val="17"/>
          <w:szCs w:val="17"/>
          <w:color w:val="auto"/>
        </w:rPr>
        <w:t>March 2, 2026</w:t>
      </w:r>
    </w:p>
    <w:sectPr>
      <w:pgSz w:w="11900" w:h="16838" w:orient="portrait"/>
      <w:cols w:equalWidth="0" w:num="1">
        <w:col w:w="11240"/>
      </w:cols>
      <w:pgMar w:left="320" w:top="85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
      <w:numFmt w:val="bullet"/>
      <w:start w:val="1"/>
    </w:lvl>
  </w:abstractNum>
  <w:abstractNum w:abstractNumId="3">
    <w:nsid w:val="2D1D5AE9"/>
    <w:multiLevelType w:val="hybridMultilevel"/>
    <w:lvl w:ilvl="0">
      <w:lvlJc w:val="left"/>
      <w:lvlText w:val="•"/>
      <w:numFmt w:val="bullet"/>
      <w:start w:val="1"/>
    </w:lvl>
  </w:abstractNum>
  <w:abstractNum w:abstractNumId="4">
    <w:nsid w:val="6763845E"/>
    <w:multiLevelType w:val="hybridMultilevel"/>
    <w:lvl w:ilvl="0">
      <w:lvlJc w:val="left"/>
      <w:lvlText w:val="•"/>
      <w:numFmt w:val="bullet"/>
      <w:start w:val="1"/>
    </w:lvl>
  </w:abstractNum>
  <w:abstractNum w:abstractNumId="5">
    <w:nsid w:val="75A2A8D4"/>
    <w:multiLevelType w:val="hybridMultilevel"/>
    <w:lvl w:ilvl="0">
      <w:lvlJc w:val="left"/>
      <w:lvlText w:val="•"/>
      <w:numFmt w:val="bullet"/>
      <w:start w:val="1"/>
    </w:lvl>
  </w:abstractNum>
  <w:abstractNum w:abstractNumId="6">
    <w:nsid w:val="8EDBDAB"/>
    <w:multiLevelType w:val="hybridMultilevel"/>
    <w:lvl w:ilvl="0">
      <w:lvlJc w:val="left"/>
      <w:lvlText w:val="•"/>
      <w:numFmt w:val="bullet"/>
      <w:start w:val="1"/>
    </w:lvl>
  </w:abstractNum>
  <w:abstractNum w:abstractNumId="7">
    <w:nsid w:val="79838CB2"/>
    <w:multiLevelType w:val="hybridMultilevel"/>
    <w:lvl w:ilvl="0">
      <w:lvlJc w:val="left"/>
      <w:lvlText w:val="•"/>
      <w:numFmt w:val="bullet"/>
      <w:start w:val="1"/>
    </w:lvl>
  </w:abstractNum>
  <w:abstractNum w:abstractNumId="8">
    <w:nsid w:val="4353D0CD"/>
    <w:multiLevelType w:val="hybridMultilevel"/>
    <w:lvl w:ilvl="0">
      <w:lvlJc w:val="left"/>
      <w:lvlText w:val="•"/>
      <w:numFmt w:val="bullet"/>
      <w:start w:val="1"/>
    </w:lvl>
  </w:abstractNum>
  <w:abstractNum w:abstractNumId="9">
    <w:nsid w:val="B03E0C6"/>
    <w:multiLevelType w:val="hybridMultilevel"/>
    <w:lvl w:ilvl="0">
      <w:lvlJc w:val="left"/>
      <w:lvlText w:val="•"/>
      <w:numFmt w:val="bullet"/>
      <w:start w:val="1"/>
    </w:lvl>
  </w:abstractNum>
  <w:abstractNum w:abstractNumId="10">
    <w:nsid w:val="189A769B"/>
    <w:multiLevelType w:val="hybridMultilevel"/>
    <w:lvl w:ilvl="0">
      <w:lvlJc w:val="left"/>
      <w:lvlText w:val="•"/>
      <w:numFmt w:val="bullet"/>
      <w:start w:val="1"/>
    </w:lvl>
  </w:abstractNum>
  <w:abstractNum w:abstractNumId="11">
    <w:nsid w:val="54E49EB4"/>
    <w:multiLevelType w:val="hybridMultilevel"/>
    <w:lvl w:ilvl="0">
      <w:lvlJc w:val="left"/>
      <w:lvlText w:val="•"/>
      <w:numFmt w:val="bullet"/>
      <w:start w:val="1"/>
    </w:lvl>
  </w:abstractNum>
  <w:abstractNum w:abstractNumId="12">
    <w:nsid w:val="71F32454"/>
    <w:multiLevelType w:val="hybridMultilevel"/>
    <w:lvl w:ilvl="0">
      <w:lvlJc w:val="left"/>
      <w:lvlText w:val="•"/>
      <w:numFmt w:val="bullet"/>
      <w:start w:val="1"/>
    </w:lvl>
  </w:abstractNum>
  <w:abstractNum w:abstractNumId="13">
    <w:nsid w:val="2CA88611"/>
    <w:multiLevelType w:val="hybridMultilevel"/>
    <w:lvl w:ilvl="0">
      <w:lvlJc w:val="left"/>
      <w:lvlText w:val="•"/>
      <w:numFmt w:val="bullet"/>
      <w:start w:val="1"/>
    </w:lvl>
  </w:abstractNum>
  <w:abstractNum w:abstractNumId="14">
    <w:nsid w:val="836C40E"/>
    <w:multiLevelType w:val="hybridMultilevel"/>
    <w:lvl w:ilvl="0">
      <w:lvlJc w:val="left"/>
      <w:lvlText w:val="•"/>
      <w:numFmt w:val="bullet"/>
      <w:start w:val="1"/>
    </w:lvl>
  </w:abstractNum>
  <w:abstractNum w:abstractNumId="15">
    <w:nsid w:val="2901D82"/>
    <w:multiLevelType w:val="hybridMultilevel"/>
    <w:lvl w:ilvl="0">
      <w:lvlJc w:val="left"/>
      <w:lvlText w:val="•"/>
      <w:numFmt w:val="bullet"/>
      <w:start w:val="1"/>
    </w:lvl>
  </w:abstractNum>
  <w:abstractNum w:abstractNumId="16">
    <w:nsid w:val="3A95F874"/>
    <w:multiLevelType w:val="hybridMultilevel"/>
    <w:lvl w:ilvl="0">
      <w:lvlJc w:val="left"/>
      <w:lvlText w:val="(%1)"/>
      <w:numFmt w:val="lowerRoman"/>
      <w:start w:val="4"/>
    </w:lvl>
  </w:abstractNum>
  <w:abstractNum w:abstractNumId="17">
    <w:nsid w:val="8138641"/>
    <w:multiLevelType w:val="hybridMultilevel"/>
    <w:lvl w:ilvl="0">
      <w:lvlJc w:val="left"/>
      <w:lvlText w:val="(%1)"/>
      <w:numFmt w:val="decimal"/>
      <w:start w:val="1"/>
    </w:lvl>
  </w:abstractNum>
  <w:abstractNum w:abstractNumId="18">
    <w:nsid w:val="1E7FF521"/>
    <w:multiLevelType w:val="hybridMultilevel"/>
    <w:lvl w:ilvl="0">
      <w:lvlJc w:val="left"/>
      <w:lvlText w:val="(%1)"/>
      <w:numFmt w:val="decimal"/>
      <w:start w:val="1"/>
    </w:lvl>
  </w:abstractNum>
  <w:abstractNum w:abstractNumId="19">
    <w:nsid w:val="7C3DBD3D"/>
    <w:multiLevelType w:val="hybridMultilevel"/>
    <w:lvl w:ilvl="0">
      <w:lvlJc w:val="left"/>
      <w:lvlText w:val="(%1)"/>
      <w:numFmt w:val="decimal"/>
      <w:start w:val="1"/>
    </w:lvl>
  </w:abstractNum>
  <w:abstractNum w:abstractNumId="20">
    <w:nsid w:val="737B8DDC"/>
    <w:multiLevelType w:val="hybridMultilevel"/>
    <w:lvl w:ilvl="0">
      <w:lvlJc w:val="left"/>
      <w:lvlText w:val="(%1)"/>
      <w:numFmt w:val="lowerLetter"/>
      <w:start w:val="1"/>
    </w:lvl>
    <w:lvl w:ilvl="1">
      <w:lvlJc w:val="left"/>
      <w:lvlText w:val="(%2)"/>
      <w:numFmt w:val="decimal"/>
      <w:start w:val="1"/>
    </w:lvl>
  </w:abstractNum>
  <w:abstractNum w:abstractNumId="21">
    <w:nsid w:val="6CEAF087"/>
    <w:multiLevelType w:val="hybridMultilevel"/>
    <w:lvl w:ilvl="0">
      <w:lvlJc w:val="left"/>
      <w:lvlText w:val="%1"/>
      <w:numFmt w:val="lowerLetter"/>
      <w:start w:val="1"/>
    </w:lvl>
    <w:lvl w:ilvl="1">
      <w:lvlJc w:val="left"/>
      <w:lvlText w:val="%2"/>
      <w:numFmt w:val="decimal"/>
      <w:start w:val="104"/>
    </w:lvl>
  </w:abstractNum>
  <w:abstractNum w:abstractNumId="22">
    <w:nsid w:val="22221A70"/>
    <w:multiLevelType w:val="hybridMultilevel"/>
    <w:lvl w:ilvl="0">
      <w:lvlJc w:val="left"/>
      <w:lvlText w:val="(%1)"/>
      <w:numFmt w:val="lowerLetter"/>
      <w:start w:val="1"/>
    </w:lvl>
    <w:lvl w:ilvl="1">
      <w:lvlJc w:val="left"/>
      <w:lvlText w:val="%2"/>
      <w:numFmt w:val="decimal"/>
      <w:start w:val="1"/>
    </w:lvl>
  </w:abstractNum>
  <w:abstractNum w:abstractNumId="23">
    <w:nsid w:val="4516DDE9"/>
    <w:multiLevelType w:val="hybridMultilevel"/>
    <w:lvl w:ilvl="0">
      <w:lvlJc w:val="left"/>
      <w:lvlText w:val="*"/>
      <w:numFmt w:val="bullet"/>
      <w:start w:val="1"/>
    </w:lvl>
  </w:abstractNum>
  <w:abstractNum w:abstractNumId="24">
    <w:nsid w:val="3006C83E"/>
    <w:multiLevelType w:val="hybridMultilevel"/>
    <w:lvl w:ilvl="0">
      <w:lvlJc w:val="left"/>
      <w:lvlText w:val="%1."/>
      <w:numFmt w:val="decimal"/>
      <w:start w:val="1"/>
    </w:lvl>
  </w:abstractNum>
  <w:abstractNum w:abstractNumId="25">
    <w:nsid w:val="614FD4A1"/>
    <w:multiLevelType w:val="hybridMultilevel"/>
    <w:lvl w:ilvl="0">
      <w:lvlJc w:val="left"/>
      <w:lvlText w:val="(%1)"/>
      <w:numFmt w:val="decimal"/>
      <w:start w:val="1"/>
    </w:lvl>
  </w:abstractNum>
  <w:abstractNum w:abstractNumId="26">
    <w:nsid w:val="419AC241"/>
    <w:multiLevelType w:val="hybridMultilevel"/>
    <w:lvl w:ilvl="0">
      <w:lvlJc w:val="left"/>
      <w:lvlText w:val="•"/>
      <w:numFmt w:val="bullet"/>
      <w:start w:val="1"/>
    </w:lvl>
  </w:abstractNum>
  <w:abstractNum w:abstractNumId="27">
    <w:nsid w:val="5577F8E1"/>
    <w:multiLevelType w:val="hybridMultilevel"/>
    <w:lvl w:ilvl="0">
      <w:lvlJc w:val="left"/>
      <w:lvlText w:val="•"/>
      <w:numFmt w:val="bullet"/>
      <w:start w:val="1"/>
    </w:lvl>
  </w:abstractNum>
  <w:abstractNum w:abstractNumId="28">
    <w:nsid w:val="440BADFC"/>
    <w:multiLevelType w:val="hybridMultilevel"/>
    <w:lvl w:ilvl="0">
      <w:lvlJc w:val="left"/>
      <w:lvlText w:val="•"/>
      <w:numFmt w:val="bullet"/>
      <w:start w:val="1"/>
    </w:lvl>
  </w:abstractNum>
  <w:abstractNum w:abstractNumId="29">
    <w:nsid w:val="5072367"/>
    <w:multiLevelType w:val="hybridMultilevel"/>
    <w:lvl w:ilvl="0">
      <w:lvlJc w:val="left"/>
      <w:lvlText w:val="•"/>
      <w:numFmt w:val="bullet"/>
      <w:start w:val="1"/>
    </w:lvl>
  </w:abstractNum>
  <w:abstractNum w:abstractNumId="30">
    <w:nsid w:val="3804823E"/>
    <w:multiLevelType w:val="hybridMultilevel"/>
    <w:lvl w:ilvl="0">
      <w:lvlJc w:val="left"/>
      <w:lvlText w:val="•"/>
      <w:numFmt w:val="bullet"/>
      <w:start w:val="1"/>
    </w:lvl>
  </w:abstractNum>
  <w:abstractNum w:abstractNumId="31">
    <w:nsid w:val="77465F01"/>
    <w:multiLevelType w:val="hybridMultilevel"/>
    <w:lvl w:ilvl="0">
      <w:lvlJc w:val="left"/>
      <w:lvlText w:val="•"/>
      <w:numFmt w:val="bullet"/>
      <w:start w:val="1"/>
    </w:lvl>
  </w:abstractNum>
  <w:abstractNum w:abstractNumId="32">
    <w:nsid w:val="7724C67E"/>
    <w:multiLevelType w:val="hybridMultilevel"/>
    <w:lvl w:ilvl="0">
      <w:lvlJc w:val="left"/>
      <w:lvlText w:val="•"/>
      <w:numFmt w:val="bullet"/>
      <w:start w:val="1"/>
    </w:lvl>
  </w:abstractNum>
  <w:abstractNum w:abstractNumId="33">
    <w:nsid w:val="5C482A97"/>
    <w:multiLevelType w:val="hybridMultilevel"/>
    <w:lvl w:ilvl="0">
      <w:lvlJc w:val="left"/>
      <w:lvlText w:val="•"/>
      <w:numFmt w:val="bullet"/>
      <w:start w:val="1"/>
    </w:lvl>
  </w:abstractNum>
  <w:abstractNum w:abstractNumId="34">
    <w:nsid w:val="2463B9EA"/>
    <w:multiLevelType w:val="hybridMultilevel"/>
    <w:lvl w:ilvl="0">
      <w:lvlJc w:val="left"/>
      <w:lvlText w:val="$"/>
      <w:numFmt w:val="bullet"/>
      <w:start w:val="1"/>
    </w:lvl>
  </w:abstractNum>
  <w:abstractNum w:abstractNumId="35">
    <w:nsid w:val="5E884ADC"/>
    <w:multiLevelType w:val="hybridMultilevel"/>
    <w:lvl w:ilvl="0">
      <w:lvlJc w:val="left"/>
      <w:lvlText w:val="$"/>
      <w:numFmt w:val="bullet"/>
      <w:start w:val="1"/>
    </w:lvl>
  </w:abstractNum>
  <w:abstractNum w:abstractNumId="36">
    <w:nsid w:val="51EAD36B"/>
    <w:multiLevelType w:val="hybridMultilevel"/>
    <w:lvl w:ilvl="0">
      <w:lvlJc w:val="left"/>
      <w:lvlText w:val="(%1)"/>
      <w:numFmt w:val="decimal"/>
      <w:start w:val="1"/>
    </w:lvl>
  </w:abstractNum>
  <w:abstractNum w:abstractNumId="37">
    <w:nsid w:val="2D517796"/>
    <w:multiLevelType w:val="hybridMultilevel"/>
    <w:lvl w:ilvl="0">
      <w:lvlJc w:val="left"/>
      <w:lvlText w:val="(%1)"/>
      <w:numFmt w:val="decimal"/>
      <w:start w:val="1"/>
    </w:lvl>
  </w:abstractNum>
  <w:abstractNum w:abstractNumId="38">
    <w:nsid w:val="580BD78F"/>
    <w:multiLevelType w:val="hybridMultilevel"/>
    <w:lvl w:ilvl="0">
      <w:lvlJc w:val="left"/>
      <w:lvlText w:val="(%1)"/>
      <w:numFmt w:val="decimal"/>
      <w:start w:val="1"/>
    </w:lvl>
  </w:abstractNum>
  <w:abstractNum w:abstractNumId="39">
    <w:nsid w:val="153EA438"/>
    <w:multiLevelType w:val="hybridMultilevel"/>
    <w:lvl w:ilvl="0">
      <w:lvlJc w:val="left"/>
      <w:lvlText w:val="%1."/>
      <w:numFmt w:val="decimal"/>
      <w:start w:val="1"/>
    </w:lvl>
    <w:lvl w:ilvl="1">
      <w:lvlJc w:val="left"/>
      <w:lvlText w:val="(%2)"/>
      <w:numFmt w:val="lowerLetter"/>
      <w:start w:val="1"/>
    </w:lvl>
  </w:abstractNum>
  <w:abstractNum w:abstractNumId="40">
    <w:nsid w:val="3855585C"/>
    <w:multiLevelType w:val="hybridMultilevel"/>
    <w:lvl w:ilvl="0">
      <w:lvlJc w:val="left"/>
      <w:lvlText w:val="%1."/>
      <w:numFmt w:val="decimal"/>
      <w:start w:val="1"/>
    </w:lvl>
    <w:lvl w:ilvl="1">
      <w:lvlJc w:val="left"/>
      <w:lvlText w:val="(%2)"/>
      <w:numFmt w:val="lowerLetter"/>
      <w:start w:val="1"/>
    </w:lvl>
  </w:abstractNum>
  <w:abstractNum w:abstractNumId="41">
    <w:nsid w:val="70A64E2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81" Type="http://schemas.openxmlformats.org/officeDocument/2006/relationships/image" Target="media/image56.png"/><Relationship Id="rId102" Type="http://schemas.openxmlformats.org/officeDocument/2006/relationships/image" Target="media/image57.png"/><Relationship Id="rId103" Type="http://schemas.openxmlformats.org/officeDocument/2006/relationships/image" Target="media/image58.png"/><Relationship Id="rId104" Type="http://schemas.openxmlformats.org/officeDocument/2006/relationships/image" Target="media/image59.png"/><Relationship Id="rId105" Type="http://schemas.openxmlformats.org/officeDocument/2006/relationships/image" Target="media/image60.png"/><Relationship Id="rId106" Type="http://schemas.openxmlformats.org/officeDocument/2006/relationships/image" Target="media/image61.png"/><Relationship Id="rId107" Type="http://schemas.openxmlformats.org/officeDocument/2006/relationships/image" Target="media/image62.png"/><Relationship Id="rId108" Type="http://schemas.openxmlformats.org/officeDocument/2006/relationships/image" Target="media/image63.png"/><Relationship Id="rId109" Type="http://schemas.openxmlformats.org/officeDocument/2006/relationships/image" Target="media/image64.png"/><Relationship Id="rId110" Type="http://schemas.openxmlformats.org/officeDocument/2006/relationships/image" Target="media/image65.png"/><Relationship Id="rId111" Type="http://schemas.openxmlformats.org/officeDocument/2006/relationships/image" Target="media/image66.png"/><Relationship Id="rId112" Type="http://schemas.openxmlformats.org/officeDocument/2006/relationships/image" Target="media/image67.png"/><Relationship Id="rId113" Type="http://schemas.openxmlformats.org/officeDocument/2006/relationships/image" Target="media/image68.png"/><Relationship Id="rId114" Type="http://schemas.openxmlformats.org/officeDocument/2006/relationships/image" Target="media/image69.png"/><Relationship Id="rId115" Type="http://schemas.openxmlformats.org/officeDocument/2006/relationships/image" Target="media/image70.png"/><Relationship Id="rId116" Type="http://schemas.openxmlformats.org/officeDocument/2006/relationships/image" Target="media/image71.png"/><Relationship Id="rId117" Type="http://schemas.openxmlformats.org/officeDocument/2006/relationships/image" Target="media/image72.png"/><Relationship Id="rId118" Type="http://schemas.openxmlformats.org/officeDocument/2006/relationships/image" Target="media/image73.png"/><Relationship Id="rId119" Type="http://schemas.openxmlformats.org/officeDocument/2006/relationships/image" Target="media/image74.png"/><Relationship Id="rId120" Type="http://schemas.openxmlformats.org/officeDocument/2006/relationships/image" Target="media/image75.png"/><Relationship Id="rId121" Type="http://schemas.openxmlformats.org/officeDocument/2006/relationships/image" Target="media/image76.png"/><Relationship Id="rId122" Type="http://schemas.openxmlformats.org/officeDocument/2006/relationships/image" Target="media/image77.png"/><Relationship Id="rId123" Type="http://schemas.openxmlformats.org/officeDocument/2006/relationships/image" Target="media/image78.png"/><Relationship Id="rId124" Type="http://schemas.openxmlformats.org/officeDocument/2006/relationships/image" Target="media/image79.png"/><Relationship Id="rId125" Type="http://schemas.openxmlformats.org/officeDocument/2006/relationships/image" Target="media/image80.png"/><Relationship Id="rId126" Type="http://schemas.openxmlformats.org/officeDocument/2006/relationships/image" Target="media/image81.png"/><Relationship Id="rId127" Type="http://schemas.openxmlformats.org/officeDocument/2006/relationships/image" Target="media/image82.png"/><Relationship Id="rId128" Type="http://schemas.openxmlformats.org/officeDocument/2006/relationships/image" Target="media/image83.png"/><Relationship Id="rId129" Type="http://schemas.openxmlformats.org/officeDocument/2006/relationships/image" Target="media/image84.png"/><Relationship Id="rId130" Type="http://schemas.openxmlformats.org/officeDocument/2006/relationships/image" Target="media/image85.png"/><Relationship Id="rId131" Type="http://schemas.openxmlformats.org/officeDocument/2006/relationships/image" Target="media/image86.png"/><Relationship Id="rId132" Type="http://schemas.openxmlformats.org/officeDocument/2006/relationships/image" Target="media/image87.png"/><Relationship Id="rId133" Type="http://schemas.openxmlformats.org/officeDocument/2006/relationships/image" Target="media/image88.png"/><Relationship Id="rId134" Type="http://schemas.openxmlformats.org/officeDocument/2006/relationships/image" Target="media/image89.png"/><Relationship Id="rId135" Type="http://schemas.openxmlformats.org/officeDocument/2006/relationships/image" Target="media/image90.png"/><Relationship Id="rId136" Type="http://schemas.openxmlformats.org/officeDocument/2006/relationships/image" Target="media/image91.png"/><Relationship Id="rId137" Type="http://schemas.openxmlformats.org/officeDocument/2006/relationships/image" Target="media/image92.png"/><Relationship Id="rId138" Type="http://schemas.openxmlformats.org/officeDocument/2006/relationships/image" Target="media/image93.png"/><Relationship Id="rId139" Type="http://schemas.openxmlformats.org/officeDocument/2006/relationships/image" Target="media/image94.png"/><Relationship Id="rId140" Type="http://schemas.openxmlformats.org/officeDocument/2006/relationships/image" Target="media/image95.png"/><Relationship Id="rId141" Type="http://schemas.openxmlformats.org/officeDocument/2006/relationships/image" Target="media/image96.png"/><Relationship Id="rId142" Type="http://schemas.openxmlformats.org/officeDocument/2006/relationships/image" Target="media/image97.png"/><Relationship Id="rId143" Type="http://schemas.openxmlformats.org/officeDocument/2006/relationships/image" Target="media/image98.png"/><Relationship Id="rId63" Type="http://schemas.openxmlformats.org/officeDocument/2006/relationships/hyperlink" Target="https://www.sec.gov/Archives/edgar/data/1638833/000110465917066046/a17-25100_1ex3d1.htm" TargetMode="External"/><Relationship Id="rId64" Type="http://schemas.openxmlformats.org/officeDocument/2006/relationships/hyperlink" Target="https://www.sec.gov/Archives/edgar/data/1638833/000110465917055001/a17-21150_1ex3d2.htm" TargetMode="External"/><Relationship Id="rId65" Type="http://schemas.openxmlformats.org/officeDocument/2006/relationships/hyperlink" Target="https://www.sec.gov/Archives/edgar/data/1638833/000163883323000021/ye2022exhibit41.htm" TargetMode="External"/><Relationship Id="rId66" Type="http://schemas.openxmlformats.org/officeDocument/2006/relationships/hyperlink" Target="https://www.sec.gov/Archives/edgar/data/1638833/000110465924045863/tm2411508d1_ex4-1.htm" TargetMode="External"/><Relationship Id="rId67" Type="http://schemas.openxmlformats.org/officeDocument/2006/relationships/hyperlink" Target="https://www.sec.gov/Archives/edgar/data/1638833/000110465925121563/tm2533546d1_ex4-1.htm" TargetMode="External"/><Relationship Id="rId68" Type="http://schemas.openxmlformats.org/officeDocument/2006/relationships/hyperlink" Target="https://www.sec.gov/Archives/edgar/data/1638833/000163883316000019/exhibit1021highwoodslease.htm" TargetMode="External"/><Relationship Id="rId69" Type="http://schemas.openxmlformats.org/officeDocument/2006/relationships/hyperlink" Target="https://www.sec.gov/Archives/edgar/data/1638833/000163883316000055/exhibit101firstamendmentto.htm" TargetMode="External"/><Relationship Id="rId70" Type="http://schemas.openxmlformats.org/officeDocument/2006/relationships/hyperlink" Target="https://www.sec.gov/Archives/edgar/data/1638833/000163883317000020/exhibit101highlandsleasese.htm" TargetMode="External"/><Relationship Id="rId71" Type="http://schemas.openxmlformats.org/officeDocument/2006/relationships/hyperlink" Target="https://www.sec.gov/Archives/edgar/data/1638833/000110465917055001/a17-21150_1ex10d1.htm" TargetMode="External"/><Relationship Id="rId72" Type="http://schemas.openxmlformats.org/officeDocument/2006/relationships/hyperlink" Target="https://www.sec.gov/Archives/edgar/data/1638833/000110465922129608/tm2233268d1_ex10-1.htm" TargetMode="External"/><Relationship Id="rId73" Type="http://schemas.openxmlformats.org/officeDocument/2006/relationships/hyperlink" Target="https://www.sec.gov/Archives/edgar/data/1638833/000163883318000004/exhibit1011trawaiveragreem.htm" TargetMode="External"/><Relationship Id="rId74" Type="http://schemas.openxmlformats.org/officeDocument/2006/relationships/hyperlink" Target="https://www.sec.gov/Archives/edgar/data/1638833/000119312515318621/d898342dex1014.htm" TargetMode="External"/><Relationship Id="rId75" Type="http://schemas.openxmlformats.org/officeDocument/2006/relationships/hyperlink" Target="https://www.sec.gov/Archives/edgar/data/1638833/000163883320000058/a2020q2exhibit102.htm" TargetMode="External"/><Relationship Id="rId76" Type="http://schemas.openxmlformats.org/officeDocument/2006/relationships/hyperlink" Target="https://www.sec.gov/ix?doc=/Archives/edgar/data/0001638833/000163883325000084/sgry-20250424.htm#i30c8f1dd9e064265bf19403a1c084979_124" TargetMode="External"/><Relationship Id="rId77" Type="http://schemas.openxmlformats.org/officeDocument/2006/relationships/hyperlink" Target="https://www.sec.gov/Archives/edgar/data/1638833/000163883321000136/a2021q2exhibit102.htm" TargetMode="External"/><Relationship Id="rId78" Type="http://schemas.openxmlformats.org/officeDocument/2006/relationships/hyperlink" Target="https://www.sec.gov/Archives/edgar/data/1638833/000163883320000058/a2020q2exhibit101.htm" TargetMode="External"/><Relationship Id="rId79" Type="http://schemas.openxmlformats.org/officeDocument/2006/relationships/hyperlink" Target="https://www.sec.gov/Archives/edgar/data/1638833/000119312515323822/d898342dex1017.htm" TargetMode="External"/><Relationship Id="rId80" Type="http://schemas.openxmlformats.org/officeDocument/2006/relationships/hyperlink" Target="https://www.sec.gov/Archives/edgar/data/1638833/000163883315000007/exhibit105formofoptionaward.htm" TargetMode="External"/><Relationship Id="rId82" Type="http://schemas.openxmlformats.org/officeDocument/2006/relationships/hyperlink" Target="https://www.sec.gov/Archives/edgar/data/1638833/000163883315000007/exhibit106formofdirectorop.htm" TargetMode="External"/><Relationship Id="rId83" Type="http://schemas.openxmlformats.org/officeDocument/2006/relationships/hyperlink" Target="https://www.sec.gov/Archives/edgar/data/1638833/000163883315000007/exhibit107formofrestricted.htm" TargetMode="External"/><Relationship Id="rId84" Type="http://schemas.openxmlformats.org/officeDocument/2006/relationships/hyperlink" Target="https://www.sec.gov/Archives/edgar/data/1638833/000119312516505204/d162226dex991.htm" TargetMode="External"/><Relationship Id="rId85" Type="http://schemas.openxmlformats.org/officeDocument/2006/relationships/hyperlink" Target="https://www.sec.gov/Archives/edgar/data/1638833/000119312516641575/d212841dex101.htm" TargetMode="External"/><Relationship Id="rId86" Type="http://schemas.openxmlformats.org/officeDocument/2006/relationships/hyperlink" Target="https://www.sec.gov/Archives/edgar/data/1638833/000163883317000010/exhibit101non-employeersaa.htm" TargetMode="External"/><Relationship Id="rId87" Type="http://schemas.openxmlformats.org/officeDocument/2006/relationships/hyperlink" Target="https://www.sec.gov/Archives/edgar/data/1638833/000110465918074124/a18-41943_1ex10d1.htm" TargetMode="External"/><Relationship Id="rId88" Type="http://schemas.openxmlformats.org/officeDocument/2006/relationships/hyperlink" Target="https://www.sec.gov/Archives/edgar/data/1638833/000163883324000106/sgry-20240425.htm#i227833c13def44249bd1572bf17f4242_1169" TargetMode="External"/><Relationship Id="rId89" Type="http://schemas.openxmlformats.org/officeDocument/2006/relationships/hyperlink" Target="https://www.sec.gov/Archives/edgar/data/1638833/000163883324000135/a2024q2exhibit104.htm" TargetMode="External"/><Relationship Id="rId90" Type="http://schemas.openxmlformats.org/officeDocument/2006/relationships/hyperlink" Target="https://www.sec.gov/Archives/edgar/data/1638833/000163883322000096/a2022q1exhibit101.htm" TargetMode="External"/><Relationship Id="rId91" Type="http://schemas.openxmlformats.org/officeDocument/2006/relationships/hyperlink" Target="https://www.sec.gov/Archives/edgar/data/1638833/000163883319000002/a2019212ex101employmentagr.htm" TargetMode="External"/><Relationship Id="rId92" Type="http://schemas.openxmlformats.org/officeDocument/2006/relationships/hyperlink" Target="https://www.sec.gov/Archives/edgar/data/1638833/000163883320000002/a20200113ex102employmentag.htm" TargetMode="External"/><Relationship Id="rId93" Type="http://schemas.openxmlformats.org/officeDocument/2006/relationships/hyperlink" Target="https://www.sec.gov/Archives/edgar/data/1638833/000163883322000002/a20220110dohertyexecutivee.htm" TargetMode="External"/><Relationship Id="rId94" Type="http://schemas.openxmlformats.org/officeDocument/2006/relationships/hyperlink" Target="https://www.sec.gov/Archives/edgar/data/1638833/000163883322000019/ye2021exhibit1040.htm" TargetMode="External"/><Relationship Id="rId95" Type="http://schemas.openxmlformats.org/officeDocument/2006/relationships/hyperlink" Target="https://www.sec.gov/Archives/edgar/data/1638833/000163883323000021/ye2022exhibit1041.htm" TargetMode="External"/><Relationship Id="rId96" Type="http://schemas.openxmlformats.org/officeDocument/2006/relationships/hyperlink" Target="https://www.sec.gov/Archives/edgar/data/1638833/000163883325000166/exhibit101oppenheimeremplo.htm" TargetMode="External"/><Relationship Id="rId97" Type="http://schemas.openxmlformats.org/officeDocument/2006/relationships/hyperlink" Target="https://www.sec.gov/Archives/edgar/data/1638833/000110465923127412/tm2333274d1_ex10-1.htm" TargetMode="External"/><Relationship Id="rId98" Type="http://schemas.openxmlformats.org/officeDocument/2006/relationships/hyperlink" Target="https://www.sec.gov/Archives/edgar/data/1638833/000110465924073419/tm2417299d1_ex10-1.htm" TargetMode="External"/><Relationship Id="rId99" Type="http://schemas.openxmlformats.org/officeDocument/2006/relationships/hyperlink" Target="https://www.sec.gov/Archives/edgar/data/1638833/000110465925077656/tm2523271d1_ex10-1.htm" TargetMode="External"/><Relationship Id="rId100" Type="http://schemas.openxmlformats.org/officeDocument/2006/relationships/hyperlink" Target="https://www.sec.gov/Archives/edgar/data/1638833/000163883325000053/a2024exhibit19.htm" TargetMode="External"/><Relationship Id="rId101" Type="http://schemas.openxmlformats.org/officeDocument/2006/relationships/hyperlink" Target="https://www.sec.gov/Archives/edgar/data/1638833/000163883324000029/a2023exhibit9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2026-03-02T16:43:16Z</dcterms:created>
  <dcterms:modified xsi:type="dcterms:W3CDTF">2026-03-02T16:43:16Z</dcterms:modified>
</cp:coreProperties>
</file>